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2126"/>
        <w:gridCol w:w="2552"/>
      </w:tblGrid>
      <w:tr w:rsidR="00774667" w:rsidRPr="003C25A8" w:rsidTr="003C25A8">
        <w:tc>
          <w:tcPr>
            <w:tcW w:w="4748" w:type="dxa"/>
            <w:tcBorders>
              <w:top w:val="nil"/>
              <w:left w:val="nil"/>
              <w:bottom w:val="nil"/>
              <w:right w:val="nil"/>
            </w:tcBorders>
          </w:tcPr>
          <w:p w:rsidR="00774667" w:rsidRPr="003C25A8" w:rsidRDefault="00774667" w:rsidP="00877E78">
            <w:pPr>
              <w:spacing w:line="360" w:lineRule="auto"/>
              <w:rPr>
                <w:rFonts w:ascii="Verdana" w:hAnsi="Verdana" w:cs="Arial"/>
                <w:b/>
              </w:rPr>
            </w:pPr>
            <w:r>
              <w:rPr>
                <w:rFonts w:ascii="Verdana" w:hAnsi="Verdana"/>
                <w:b/>
              </w:rPr>
              <w:t>Annex 1 to the contract pursuant to DE-UZ 123</w:t>
            </w:r>
          </w:p>
          <w:p w:rsidR="00774667" w:rsidRPr="003C25A8" w:rsidRDefault="00774667" w:rsidP="00774667">
            <w:pPr>
              <w:pBdr>
                <w:bottom w:val="single" w:sz="6" w:space="1" w:color="auto"/>
              </w:pBdr>
              <w:rPr>
                <w:rFonts w:ascii="Verdana" w:hAnsi="Verdana" w:cs="Arial"/>
                <w:b/>
              </w:rPr>
            </w:pPr>
            <w:r>
              <w:rPr>
                <w:rFonts w:ascii="Verdana" w:hAnsi="Verdana"/>
                <w:b/>
              </w:rPr>
              <w:t>Environmental Label for</w:t>
            </w:r>
          </w:p>
          <w:p w:rsidR="00774667" w:rsidRPr="003C25A8" w:rsidRDefault="00774667" w:rsidP="00774667">
            <w:pPr>
              <w:pBdr>
                <w:bottom w:val="single" w:sz="6" w:space="1" w:color="auto"/>
              </w:pBdr>
              <w:rPr>
                <w:rFonts w:ascii="Verdana" w:hAnsi="Verdana" w:cs="Arial"/>
                <w:b/>
              </w:rPr>
            </w:pPr>
            <w:r>
              <w:rPr>
                <w:rFonts w:ascii="Verdana" w:hAnsi="Verdana"/>
                <w:b/>
              </w:rPr>
              <w:t xml:space="preserve">“Low-Emission Sealants for </w:t>
            </w:r>
          </w:p>
          <w:p w:rsidR="00774667" w:rsidRPr="003C25A8" w:rsidRDefault="00774667" w:rsidP="00774667">
            <w:pPr>
              <w:pBdr>
                <w:bottom w:val="single" w:sz="6" w:space="1" w:color="auto"/>
              </w:pBdr>
              <w:rPr>
                <w:rFonts w:ascii="Verdana" w:hAnsi="Verdana" w:cs="Arial"/>
                <w:b/>
                <w:u w:val="single"/>
              </w:rPr>
            </w:pPr>
            <w:r>
              <w:rPr>
                <w:rFonts w:ascii="Verdana" w:hAnsi="Verdana"/>
                <w:b/>
              </w:rPr>
              <w:t xml:space="preserve">  Interior Use”</w:t>
            </w:r>
          </w:p>
        </w:tc>
        <w:tc>
          <w:tcPr>
            <w:tcW w:w="2126" w:type="dxa"/>
            <w:tcBorders>
              <w:top w:val="nil"/>
              <w:left w:val="nil"/>
              <w:bottom w:val="nil"/>
              <w:right w:val="single" w:sz="6" w:space="0" w:color="auto"/>
            </w:tcBorders>
          </w:tcPr>
          <w:p w:rsidR="00774667" w:rsidRPr="003C25A8" w:rsidRDefault="00774667" w:rsidP="00774667">
            <w:pPr>
              <w:rPr>
                <w:rFonts w:ascii="Verdana" w:hAnsi="Verdana" w:cs="Arial"/>
                <w:b/>
                <w:u w:val="single"/>
              </w:rPr>
            </w:pPr>
          </w:p>
          <w:p w:rsidR="00774667" w:rsidRPr="003C25A8" w:rsidRDefault="00774667" w:rsidP="00774667">
            <w:pPr>
              <w:rPr>
                <w:rFonts w:ascii="Verdana" w:hAnsi="Verdana" w:cs="Arial"/>
                <w:b/>
                <w:u w:val="single"/>
              </w:rPr>
            </w:pPr>
          </w:p>
          <w:p w:rsidR="00774667" w:rsidRPr="003C25A8" w:rsidRDefault="00774667" w:rsidP="00774667">
            <w:pPr>
              <w:rPr>
                <w:rFonts w:ascii="Verdana" w:hAnsi="Verdana" w:cs="Arial"/>
                <w:b/>
                <w:u w:val="single"/>
              </w:rPr>
            </w:pPr>
          </w:p>
        </w:tc>
        <w:tc>
          <w:tcPr>
            <w:tcW w:w="2552" w:type="dxa"/>
            <w:tcBorders>
              <w:top w:val="single" w:sz="6" w:space="0" w:color="auto"/>
              <w:left w:val="nil"/>
              <w:bottom w:val="single" w:sz="6" w:space="0" w:color="auto"/>
              <w:right w:val="single" w:sz="6" w:space="0" w:color="auto"/>
            </w:tcBorders>
            <w:vAlign w:val="center"/>
          </w:tcPr>
          <w:p w:rsidR="00774667" w:rsidRPr="003C25A8" w:rsidRDefault="00774667" w:rsidP="003C25A8">
            <w:pPr>
              <w:jc w:val="center"/>
              <w:rPr>
                <w:rFonts w:ascii="Verdana" w:hAnsi="Verdana" w:cs="Arial"/>
                <w:b/>
              </w:rPr>
            </w:pPr>
            <w:r>
              <w:rPr>
                <w:rFonts w:ascii="Verdana" w:hAnsi="Verdana"/>
                <w:b/>
              </w:rPr>
              <w:t>Please use this</w:t>
            </w:r>
          </w:p>
          <w:p w:rsidR="00774667" w:rsidRPr="003C25A8" w:rsidRDefault="00774667" w:rsidP="003C25A8">
            <w:pPr>
              <w:jc w:val="center"/>
              <w:rPr>
                <w:rFonts w:ascii="Verdana" w:hAnsi="Verdana" w:cs="Arial"/>
                <w:b/>
              </w:rPr>
            </w:pPr>
          </w:p>
          <w:p w:rsidR="00774667" w:rsidRPr="003C25A8" w:rsidRDefault="00774667" w:rsidP="003C25A8">
            <w:pPr>
              <w:jc w:val="center"/>
              <w:rPr>
                <w:rFonts w:ascii="Verdana" w:hAnsi="Verdana" w:cs="Arial"/>
                <w:b/>
              </w:rPr>
            </w:pPr>
            <w:r>
              <w:rPr>
                <w:rFonts w:ascii="Verdana" w:hAnsi="Verdana"/>
                <w:b/>
              </w:rPr>
              <w:t>form!</w:t>
            </w:r>
          </w:p>
        </w:tc>
      </w:tr>
    </w:tbl>
    <w:p w:rsidR="00774667" w:rsidRPr="003C25A8" w:rsidRDefault="00774667" w:rsidP="00774667">
      <w:pPr>
        <w:numPr>
          <w:ilvl w:val="12"/>
          <w:numId w:val="0"/>
        </w:numPr>
        <w:tabs>
          <w:tab w:val="left" w:pos="5670"/>
        </w:tabs>
        <w:rPr>
          <w:rFonts w:ascii="Verdana" w:hAnsi="Verdana" w:cs="Arial"/>
        </w:rPr>
      </w:pPr>
    </w:p>
    <w:p w:rsidR="00774667" w:rsidRPr="003C25A8" w:rsidRDefault="00774667" w:rsidP="00877E78">
      <w:pPr>
        <w:numPr>
          <w:ilvl w:val="12"/>
          <w:numId w:val="0"/>
        </w:numPr>
        <w:tabs>
          <w:tab w:val="left" w:pos="4536"/>
          <w:tab w:val="left" w:pos="6804"/>
        </w:tabs>
        <w:rPr>
          <w:rFonts w:ascii="Verdana" w:hAnsi="Verdana" w:cs="Arial"/>
        </w:rPr>
      </w:pPr>
      <w:r>
        <w:rPr>
          <w:rFonts w:ascii="Verdana" w:hAnsi="Verdana"/>
        </w:rPr>
        <w:t>Distributor (Label User):</w:t>
      </w:r>
      <w:r>
        <w:rPr>
          <w:rFonts w:ascii="Verdana" w:hAnsi="Verdana"/>
        </w:rPr>
        <w:tab/>
      </w:r>
      <w:r w:rsidR="00877E78" w:rsidRPr="003C25A8">
        <w:rPr>
          <w:rFonts w:ascii="Verdana" w:hAnsi="Verdana" w:cs="Arial"/>
        </w:rPr>
        <w:fldChar w:fldCharType="begin" w:fldLock="1">
          <w:ffData>
            <w:name w:val="Text1"/>
            <w:enabled/>
            <w:calcOnExit w:val="0"/>
            <w:textInput>
              <w:maxLength w:val="30"/>
            </w:textInput>
          </w:ffData>
        </w:fldChar>
      </w:r>
      <w:bookmarkStart w:id="0" w:name="Text1"/>
      <w:r w:rsidR="00877E78" w:rsidRPr="003C25A8">
        <w:rPr>
          <w:rFonts w:ascii="Verdana" w:hAnsi="Verdana" w:cs="Arial"/>
        </w:rPr>
        <w:instrText xml:space="preserve"> FORMTEXT </w:instrText>
      </w:r>
      <w:r w:rsidR="00877E78" w:rsidRPr="003C25A8">
        <w:rPr>
          <w:rFonts w:ascii="Verdana" w:hAnsi="Verdana" w:cs="Arial"/>
        </w:rPr>
      </w:r>
      <w:r w:rsidR="00877E78" w:rsidRPr="003C25A8">
        <w:rPr>
          <w:rFonts w:ascii="Verdana" w:hAnsi="Verdana" w:cs="Arial"/>
        </w:rPr>
        <w:fldChar w:fldCharType="separate"/>
      </w:r>
      <w:r>
        <w:rPr>
          <w:rFonts w:ascii="Verdana" w:hAnsi="Verdana"/>
        </w:rPr>
        <w:t>     </w:t>
      </w:r>
      <w:r w:rsidR="00877E78" w:rsidRPr="003C25A8">
        <w:rPr>
          <w:rFonts w:ascii="Verdana" w:hAnsi="Verdana" w:cs="Arial"/>
        </w:rPr>
        <w:fldChar w:fldCharType="end"/>
      </w:r>
      <w:bookmarkEnd w:id="0"/>
    </w:p>
    <w:p w:rsidR="00774667" w:rsidRPr="003C25A8" w:rsidRDefault="00877E78" w:rsidP="00877E78">
      <w:pPr>
        <w:numPr>
          <w:ilvl w:val="12"/>
          <w:numId w:val="0"/>
        </w:numPr>
        <w:tabs>
          <w:tab w:val="left" w:pos="4536"/>
          <w:tab w:val="left" w:pos="6804"/>
        </w:tabs>
        <w:rPr>
          <w:rFonts w:ascii="Verdana" w:hAnsi="Verdana" w:cs="Arial"/>
        </w:rPr>
      </w:pPr>
      <w:r>
        <w:rPr>
          <w:rFonts w:ascii="Verdana" w:hAnsi="Verdana"/>
        </w:rPr>
        <w:tab/>
      </w:r>
      <w:r w:rsidRPr="003C25A8">
        <w:rPr>
          <w:rFonts w:ascii="Verdana" w:hAnsi="Verdana" w:cs="Arial"/>
        </w:rPr>
        <w:fldChar w:fldCharType="begin" w:fldLock="1">
          <w:ffData>
            <w:name w:val="Text1"/>
            <w:enabled/>
            <w:calcOnExit w:val="0"/>
            <w:textInput>
              <w:maxLength w:val="30"/>
            </w:textInput>
          </w:ffData>
        </w:fldChar>
      </w:r>
      <w:r w:rsidRPr="003C25A8">
        <w:rPr>
          <w:rFonts w:ascii="Verdana" w:hAnsi="Verdana" w:cs="Arial"/>
        </w:rPr>
        <w:instrText xml:space="preserve"> FORMTEXT </w:instrText>
      </w:r>
      <w:r w:rsidRPr="003C25A8">
        <w:rPr>
          <w:rFonts w:ascii="Verdana" w:hAnsi="Verdana" w:cs="Arial"/>
        </w:rPr>
      </w:r>
      <w:r w:rsidRPr="003C25A8">
        <w:rPr>
          <w:rFonts w:ascii="Verdana" w:hAnsi="Verdana" w:cs="Arial"/>
        </w:rPr>
        <w:fldChar w:fldCharType="separate"/>
      </w:r>
      <w:r>
        <w:rPr>
          <w:rFonts w:ascii="Verdana" w:hAnsi="Verdana"/>
        </w:rPr>
        <w:t>     </w:t>
      </w:r>
      <w:r w:rsidRPr="003C25A8">
        <w:rPr>
          <w:rFonts w:ascii="Verdana" w:hAnsi="Verdana" w:cs="Arial"/>
        </w:rPr>
        <w:fldChar w:fldCharType="end"/>
      </w:r>
    </w:p>
    <w:p w:rsidR="00774667" w:rsidRPr="003C25A8" w:rsidRDefault="00877E78" w:rsidP="00877E78">
      <w:pPr>
        <w:numPr>
          <w:ilvl w:val="12"/>
          <w:numId w:val="0"/>
        </w:numPr>
        <w:tabs>
          <w:tab w:val="left" w:pos="4536"/>
          <w:tab w:val="left" w:pos="6804"/>
        </w:tabs>
        <w:rPr>
          <w:rFonts w:ascii="Verdana" w:hAnsi="Verdana" w:cs="Arial"/>
        </w:rPr>
      </w:pPr>
      <w:r>
        <w:rPr>
          <w:rFonts w:ascii="Verdana" w:hAnsi="Verdana"/>
        </w:rPr>
        <w:tab/>
      </w:r>
      <w:r w:rsidRPr="003C25A8">
        <w:rPr>
          <w:rFonts w:ascii="Verdana" w:hAnsi="Verdana" w:cs="Arial"/>
        </w:rPr>
        <w:fldChar w:fldCharType="begin" w:fldLock="1">
          <w:ffData>
            <w:name w:val="Text1"/>
            <w:enabled/>
            <w:calcOnExit w:val="0"/>
            <w:textInput>
              <w:maxLength w:val="30"/>
            </w:textInput>
          </w:ffData>
        </w:fldChar>
      </w:r>
      <w:r w:rsidRPr="003C25A8">
        <w:rPr>
          <w:rFonts w:ascii="Verdana" w:hAnsi="Verdana" w:cs="Arial"/>
        </w:rPr>
        <w:instrText xml:space="preserve"> FORMTEXT </w:instrText>
      </w:r>
      <w:r w:rsidRPr="003C25A8">
        <w:rPr>
          <w:rFonts w:ascii="Verdana" w:hAnsi="Verdana" w:cs="Arial"/>
        </w:rPr>
      </w:r>
      <w:r w:rsidRPr="003C25A8">
        <w:rPr>
          <w:rFonts w:ascii="Verdana" w:hAnsi="Verdana" w:cs="Arial"/>
        </w:rPr>
        <w:fldChar w:fldCharType="separate"/>
      </w:r>
      <w:r>
        <w:rPr>
          <w:rFonts w:ascii="Verdana" w:hAnsi="Verdana"/>
        </w:rPr>
        <w:t>     </w:t>
      </w:r>
      <w:r w:rsidRPr="003C25A8">
        <w:rPr>
          <w:rFonts w:ascii="Verdana" w:hAnsi="Verdana" w:cs="Arial"/>
        </w:rPr>
        <w:fldChar w:fldCharType="end"/>
      </w:r>
    </w:p>
    <w:p w:rsidR="00774667" w:rsidRPr="003C25A8" w:rsidRDefault="00774667" w:rsidP="00877E78">
      <w:pPr>
        <w:numPr>
          <w:ilvl w:val="12"/>
          <w:numId w:val="0"/>
        </w:numPr>
        <w:tabs>
          <w:tab w:val="left" w:pos="4536"/>
          <w:tab w:val="left" w:pos="6804"/>
        </w:tabs>
        <w:rPr>
          <w:rFonts w:ascii="Verdana" w:hAnsi="Verdana" w:cs="Arial"/>
        </w:rPr>
      </w:pPr>
    </w:p>
    <w:p w:rsidR="00774667" w:rsidRPr="003C25A8" w:rsidRDefault="00774667" w:rsidP="00877E78">
      <w:pPr>
        <w:numPr>
          <w:ilvl w:val="12"/>
          <w:numId w:val="0"/>
        </w:numPr>
        <w:tabs>
          <w:tab w:val="left" w:pos="4536"/>
          <w:tab w:val="left" w:pos="6804"/>
        </w:tabs>
        <w:rPr>
          <w:rFonts w:ascii="Verdana" w:hAnsi="Verdana" w:cs="Arial"/>
        </w:rPr>
      </w:pPr>
      <w:r>
        <w:rPr>
          <w:rFonts w:ascii="Verdana" w:hAnsi="Verdana"/>
        </w:rPr>
        <w:t>Brand/trade name:</w:t>
      </w:r>
      <w:r>
        <w:rPr>
          <w:rFonts w:ascii="Verdana" w:hAnsi="Verdana"/>
        </w:rPr>
        <w:tab/>
      </w:r>
      <w:r w:rsidR="00877E78" w:rsidRPr="003C25A8">
        <w:rPr>
          <w:rFonts w:ascii="Verdana" w:hAnsi="Verdana" w:cs="Arial"/>
        </w:rPr>
        <w:fldChar w:fldCharType="begin" w:fldLock="1">
          <w:ffData>
            <w:name w:val="Text1"/>
            <w:enabled/>
            <w:calcOnExit w:val="0"/>
            <w:textInput>
              <w:maxLength w:val="30"/>
            </w:textInput>
          </w:ffData>
        </w:fldChar>
      </w:r>
      <w:r w:rsidR="00877E78" w:rsidRPr="003C25A8">
        <w:rPr>
          <w:rFonts w:ascii="Verdana" w:hAnsi="Verdana" w:cs="Arial"/>
        </w:rPr>
        <w:instrText xml:space="preserve"> FORMTEXT </w:instrText>
      </w:r>
      <w:r w:rsidR="00877E78" w:rsidRPr="003C25A8">
        <w:rPr>
          <w:rFonts w:ascii="Verdana" w:hAnsi="Verdana" w:cs="Arial"/>
        </w:rPr>
      </w:r>
      <w:r w:rsidR="00877E78" w:rsidRPr="003C25A8">
        <w:rPr>
          <w:rFonts w:ascii="Verdana" w:hAnsi="Verdana" w:cs="Arial"/>
        </w:rPr>
        <w:fldChar w:fldCharType="separate"/>
      </w:r>
      <w:r>
        <w:rPr>
          <w:rFonts w:ascii="Verdana" w:hAnsi="Verdana"/>
        </w:rPr>
        <w:t>     </w:t>
      </w:r>
      <w:r w:rsidR="00877E78" w:rsidRPr="003C25A8">
        <w:rPr>
          <w:rFonts w:ascii="Verdana" w:hAnsi="Verdana" w:cs="Arial"/>
        </w:rPr>
        <w:fldChar w:fldCharType="end"/>
      </w:r>
    </w:p>
    <w:p w:rsidR="00774667" w:rsidRPr="003C25A8" w:rsidRDefault="00877E78" w:rsidP="00877E78">
      <w:pPr>
        <w:numPr>
          <w:ilvl w:val="12"/>
          <w:numId w:val="0"/>
        </w:numPr>
        <w:tabs>
          <w:tab w:val="left" w:pos="4536"/>
          <w:tab w:val="left" w:pos="6804"/>
        </w:tabs>
        <w:rPr>
          <w:rFonts w:ascii="Verdana" w:hAnsi="Verdana" w:cs="Arial"/>
        </w:rPr>
      </w:pPr>
      <w:r>
        <w:rPr>
          <w:rFonts w:ascii="Verdana" w:hAnsi="Verdana"/>
        </w:rPr>
        <w:tab/>
      </w:r>
      <w:r w:rsidRPr="003C25A8">
        <w:rPr>
          <w:rFonts w:ascii="Verdana" w:hAnsi="Verdana" w:cs="Arial"/>
        </w:rPr>
        <w:fldChar w:fldCharType="begin" w:fldLock="1">
          <w:ffData>
            <w:name w:val="Text1"/>
            <w:enabled/>
            <w:calcOnExit w:val="0"/>
            <w:textInput>
              <w:maxLength w:val="30"/>
            </w:textInput>
          </w:ffData>
        </w:fldChar>
      </w:r>
      <w:r w:rsidRPr="003C25A8">
        <w:rPr>
          <w:rFonts w:ascii="Verdana" w:hAnsi="Verdana" w:cs="Arial"/>
        </w:rPr>
        <w:instrText xml:space="preserve"> FORMTEXT </w:instrText>
      </w:r>
      <w:r w:rsidRPr="003C25A8">
        <w:rPr>
          <w:rFonts w:ascii="Verdana" w:hAnsi="Verdana" w:cs="Arial"/>
        </w:rPr>
      </w:r>
      <w:r w:rsidRPr="003C25A8">
        <w:rPr>
          <w:rFonts w:ascii="Verdana" w:hAnsi="Verdana" w:cs="Arial"/>
        </w:rPr>
        <w:fldChar w:fldCharType="separate"/>
      </w:r>
      <w:r>
        <w:rPr>
          <w:rFonts w:ascii="Verdana" w:hAnsi="Verdana"/>
        </w:rPr>
        <w:t>     </w:t>
      </w:r>
      <w:r w:rsidRPr="003C25A8">
        <w:rPr>
          <w:rFonts w:ascii="Verdana" w:hAnsi="Verdana" w:cs="Arial"/>
        </w:rPr>
        <w:fldChar w:fldCharType="end"/>
      </w:r>
    </w:p>
    <w:p w:rsidR="00774667" w:rsidRPr="003C25A8" w:rsidRDefault="00877E78" w:rsidP="00877E78">
      <w:pPr>
        <w:numPr>
          <w:ilvl w:val="12"/>
          <w:numId w:val="0"/>
        </w:numPr>
        <w:tabs>
          <w:tab w:val="left" w:pos="4536"/>
          <w:tab w:val="left" w:pos="5670"/>
        </w:tabs>
        <w:rPr>
          <w:rFonts w:ascii="Verdana" w:hAnsi="Verdana" w:cs="Arial"/>
        </w:rPr>
      </w:pPr>
      <w:r>
        <w:rPr>
          <w:rFonts w:ascii="Verdana" w:hAnsi="Verdana"/>
        </w:rPr>
        <w:tab/>
      </w:r>
      <w:r w:rsidRPr="003C25A8">
        <w:rPr>
          <w:rFonts w:ascii="Verdana" w:hAnsi="Verdana" w:cs="Arial"/>
        </w:rPr>
        <w:fldChar w:fldCharType="begin" w:fldLock="1">
          <w:ffData>
            <w:name w:val="Text1"/>
            <w:enabled/>
            <w:calcOnExit w:val="0"/>
            <w:textInput>
              <w:maxLength w:val="30"/>
            </w:textInput>
          </w:ffData>
        </w:fldChar>
      </w:r>
      <w:r w:rsidRPr="003C25A8">
        <w:rPr>
          <w:rFonts w:ascii="Verdana" w:hAnsi="Verdana" w:cs="Arial"/>
        </w:rPr>
        <w:instrText xml:space="preserve"> FORMTEXT </w:instrText>
      </w:r>
      <w:r w:rsidRPr="003C25A8">
        <w:rPr>
          <w:rFonts w:ascii="Verdana" w:hAnsi="Verdana" w:cs="Arial"/>
        </w:rPr>
      </w:r>
      <w:r w:rsidRPr="003C25A8">
        <w:rPr>
          <w:rFonts w:ascii="Verdana" w:hAnsi="Verdana" w:cs="Arial"/>
        </w:rPr>
        <w:fldChar w:fldCharType="separate"/>
      </w:r>
      <w:r>
        <w:rPr>
          <w:rFonts w:ascii="Verdana" w:hAnsi="Verdana"/>
        </w:rPr>
        <w:t>     </w:t>
      </w:r>
      <w:r w:rsidRPr="003C25A8">
        <w:rPr>
          <w:rFonts w:ascii="Verdana" w:hAnsi="Verdana" w:cs="Arial"/>
        </w:rPr>
        <w:fldChar w:fldCharType="end"/>
      </w:r>
    </w:p>
    <w:p w:rsidR="00774667" w:rsidRPr="003C25A8" w:rsidRDefault="00774667" w:rsidP="00877E78">
      <w:pPr>
        <w:numPr>
          <w:ilvl w:val="12"/>
          <w:numId w:val="0"/>
        </w:numPr>
        <w:tabs>
          <w:tab w:val="left" w:pos="4536"/>
          <w:tab w:val="left" w:pos="5670"/>
        </w:tabs>
        <w:rPr>
          <w:rFonts w:ascii="Verdana" w:hAnsi="Verdana" w:cs="Arial"/>
        </w:rPr>
      </w:pPr>
    </w:p>
    <w:p w:rsidR="00774667" w:rsidRPr="003C25A8" w:rsidRDefault="00774667" w:rsidP="00877E78">
      <w:pPr>
        <w:numPr>
          <w:ilvl w:val="12"/>
          <w:numId w:val="0"/>
        </w:numPr>
        <w:tabs>
          <w:tab w:val="left" w:pos="4536"/>
          <w:tab w:val="left" w:pos="6804"/>
        </w:tabs>
        <w:rPr>
          <w:rFonts w:ascii="Verdana" w:hAnsi="Verdana" w:cs="Arial"/>
        </w:rPr>
      </w:pPr>
      <w:r>
        <w:rPr>
          <w:rFonts w:ascii="Verdana" w:hAnsi="Verdana"/>
        </w:rPr>
        <w:t>Product name:</w:t>
      </w:r>
      <w:r>
        <w:rPr>
          <w:rFonts w:ascii="Verdana" w:hAnsi="Verdana"/>
        </w:rPr>
        <w:tab/>
      </w:r>
      <w:r w:rsidR="00877E78" w:rsidRPr="003C25A8">
        <w:rPr>
          <w:rFonts w:ascii="Verdana" w:hAnsi="Verdana" w:cs="Arial"/>
        </w:rPr>
        <w:fldChar w:fldCharType="begin" w:fldLock="1">
          <w:ffData>
            <w:name w:val="Text1"/>
            <w:enabled/>
            <w:calcOnExit w:val="0"/>
            <w:textInput>
              <w:maxLength w:val="30"/>
            </w:textInput>
          </w:ffData>
        </w:fldChar>
      </w:r>
      <w:r w:rsidR="00877E78" w:rsidRPr="003C25A8">
        <w:rPr>
          <w:rFonts w:ascii="Verdana" w:hAnsi="Verdana" w:cs="Arial"/>
        </w:rPr>
        <w:instrText xml:space="preserve"> FORMTEXT </w:instrText>
      </w:r>
      <w:r w:rsidR="00877E78" w:rsidRPr="003C25A8">
        <w:rPr>
          <w:rFonts w:ascii="Verdana" w:hAnsi="Verdana" w:cs="Arial"/>
        </w:rPr>
      </w:r>
      <w:r w:rsidR="00877E78" w:rsidRPr="003C25A8">
        <w:rPr>
          <w:rFonts w:ascii="Verdana" w:hAnsi="Verdana" w:cs="Arial"/>
        </w:rPr>
        <w:fldChar w:fldCharType="separate"/>
      </w:r>
      <w:r>
        <w:rPr>
          <w:rFonts w:ascii="Verdana" w:hAnsi="Verdana"/>
        </w:rPr>
        <w:t>     </w:t>
      </w:r>
      <w:r w:rsidR="00877E78" w:rsidRPr="003C25A8">
        <w:rPr>
          <w:rFonts w:ascii="Verdana" w:hAnsi="Verdana" w:cs="Arial"/>
        </w:rPr>
        <w:fldChar w:fldCharType="end"/>
      </w:r>
    </w:p>
    <w:p w:rsidR="00774667" w:rsidRPr="003C25A8" w:rsidRDefault="00877E78" w:rsidP="00877E78">
      <w:pPr>
        <w:numPr>
          <w:ilvl w:val="12"/>
          <w:numId w:val="0"/>
        </w:numPr>
        <w:tabs>
          <w:tab w:val="left" w:pos="4536"/>
          <w:tab w:val="left" w:pos="6804"/>
        </w:tabs>
        <w:rPr>
          <w:rFonts w:ascii="Verdana" w:hAnsi="Verdana" w:cs="Arial"/>
        </w:rPr>
      </w:pPr>
      <w:r>
        <w:rPr>
          <w:rFonts w:ascii="Verdana" w:hAnsi="Verdana"/>
        </w:rPr>
        <w:tab/>
      </w:r>
      <w:r w:rsidRPr="003C25A8">
        <w:rPr>
          <w:rFonts w:ascii="Verdana" w:hAnsi="Verdana" w:cs="Arial"/>
        </w:rPr>
        <w:fldChar w:fldCharType="begin" w:fldLock="1">
          <w:ffData>
            <w:name w:val="Text1"/>
            <w:enabled/>
            <w:calcOnExit w:val="0"/>
            <w:textInput>
              <w:maxLength w:val="30"/>
            </w:textInput>
          </w:ffData>
        </w:fldChar>
      </w:r>
      <w:r w:rsidRPr="003C25A8">
        <w:rPr>
          <w:rFonts w:ascii="Verdana" w:hAnsi="Verdana" w:cs="Arial"/>
        </w:rPr>
        <w:instrText xml:space="preserve"> FORMTEXT </w:instrText>
      </w:r>
      <w:r w:rsidRPr="003C25A8">
        <w:rPr>
          <w:rFonts w:ascii="Verdana" w:hAnsi="Verdana" w:cs="Arial"/>
        </w:rPr>
      </w:r>
      <w:r w:rsidRPr="003C25A8">
        <w:rPr>
          <w:rFonts w:ascii="Verdana" w:hAnsi="Verdana" w:cs="Arial"/>
        </w:rPr>
        <w:fldChar w:fldCharType="separate"/>
      </w:r>
      <w:r>
        <w:rPr>
          <w:rFonts w:ascii="Verdana" w:hAnsi="Verdana"/>
        </w:rPr>
        <w:t>     </w:t>
      </w:r>
      <w:r w:rsidRPr="003C25A8">
        <w:rPr>
          <w:rFonts w:ascii="Verdana" w:hAnsi="Verdana" w:cs="Arial"/>
        </w:rPr>
        <w:fldChar w:fldCharType="end"/>
      </w:r>
    </w:p>
    <w:p w:rsidR="00774667" w:rsidRPr="003C25A8" w:rsidRDefault="00877E78" w:rsidP="00877E78">
      <w:pPr>
        <w:numPr>
          <w:ilvl w:val="12"/>
          <w:numId w:val="0"/>
        </w:numPr>
        <w:tabs>
          <w:tab w:val="left" w:pos="4536"/>
          <w:tab w:val="left" w:pos="6804"/>
        </w:tabs>
        <w:rPr>
          <w:rFonts w:ascii="Verdana" w:hAnsi="Verdana" w:cs="Arial"/>
        </w:rPr>
      </w:pPr>
      <w:r>
        <w:rPr>
          <w:rFonts w:ascii="Verdana" w:hAnsi="Verdana"/>
        </w:rPr>
        <w:tab/>
      </w:r>
      <w:r w:rsidRPr="003C25A8">
        <w:rPr>
          <w:rFonts w:ascii="Verdana" w:hAnsi="Verdana" w:cs="Arial"/>
        </w:rPr>
        <w:fldChar w:fldCharType="begin" w:fldLock="1">
          <w:ffData>
            <w:name w:val="Text1"/>
            <w:enabled/>
            <w:calcOnExit w:val="0"/>
            <w:textInput>
              <w:maxLength w:val="30"/>
            </w:textInput>
          </w:ffData>
        </w:fldChar>
      </w:r>
      <w:r w:rsidRPr="003C25A8">
        <w:rPr>
          <w:rFonts w:ascii="Verdana" w:hAnsi="Verdana" w:cs="Arial"/>
        </w:rPr>
        <w:instrText xml:space="preserve"> FORMTEXT </w:instrText>
      </w:r>
      <w:r w:rsidRPr="003C25A8">
        <w:rPr>
          <w:rFonts w:ascii="Verdana" w:hAnsi="Verdana" w:cs="Arial"/>
        </w:rPr>
      </w:r>
      <w:r w:rsidRPr="003C25A8">
        <w:rPr>
          <w:rFonts w:ascii="Verdana" w:hAnsi="Verdana" w:cs="Arial"/>
        </w:rPr>
        <w:fldChar w:fldCharType="separate"/>
      </w:r>
      <w:r>
        <w:rPr>
          <w:rFonts w:ascii="Verdana" w:hAnsi="Verdana"/>
        </w:rPr>
        <w:t>     </w:t>
      </w:r>
      <w:r w:rsidRPr="003C25A8">
        <w:rPr>
          <w:rFonts w:ascii="Verdana" w:hAnsi="Verdana" w:cs="Arial"/>
        </w:rPr>
        <w:fldChar w:fldCharType="end"/>
      </w:r>
    </w:p>
    <w:p w:rsidR="00774667" w:rsidRPr="003C25A8" w:rsidRDefault="00774667" w:rsidP="00877E78">
      <w:pPr>
        <w:numPr>
          <w:ilvl w:val="12"/>
          <w:numId w:val="0"/>
        </w:numPr>
        <w:tabs>
          <w:tab w:val="left" w:pos="4536"/>
          <w:tab w:val="left" w:pos="6804"/>
        </w:tabs>
        <w:rPr>
          <w:rFonts w:ascii="Verdana" w:hAnsi="Verdana" w:cs="Arial"/>
        </w:rPr>
      </w:pPr>
    </w:p>
    <w:p w:rsidR="00774667" w:rsidRPr="003C25A8" w:rsidRDefault="00774667" w:rsidP="00877E78">
      <w:pPr>
        <w:numPr>
          <w:ilvl w:val="12"/>
          <w:numId w:val="0"/>
        </w:numPr>
        <w:tabs>
          <w:tab w:val="left" w:pos="4536"/>
          <w:tab w:val="left" w:pos="6804"/>
        </w:tabs>
        <w:rPr>
          <w:rFonts w:ascii="Verdana" w:hAnsi="Verdana" w:cs="Arial"/>
        </w:rPr>
      </w:pPr>
      <w:r>
        <w:rPr>
          <w:rFonts w:ascii="Verdana" w:hAnsi="Verdana"/>
        </w:rPr>
        <w:t>Field of application:</w:t>
      </w:r>
      <w:r>
        <w:rPr>
          <w:rFonts w:ascii="Verdana" w:hAnsi="Verdana"/>
        </w:rPr>
        <w:tab/>
      </w:r>
      <w:r w:rsidR="00877E78" w:rsidRPr="003C25A8">
        <w:rPr>
          <w:rFonts w:ascii="Verdana" w:hAnsi="Verdana" w:cs="Arial"/>
        </w:rPr>
        <w:fldChar w:fldCharType="begin" w:fldLock="1">
          <w:ffData>
            <w:name w:val="Text1"/>
            <w:enabled/>
            <w:calcOnExit w:val="0"/>
            <w:textInput>
              <w:maxLength w:val="30"/>
            </w:textInput>
          </w:ffData>
        </w:fldChar>
      </w:r>
      <w:r w:rsidR="00877E78" w:rsidRPr="003C25A8">
        <w:rPr>
          <w:rFonts w:ascii="Verdana" w:hAnsi="Verdana" w:cs="Arial"/>
        </w:rPr>
        <w:instrText xml:space="preserve"> FORMTEXT </w:instrText>
      </w:r>
      <w:r w:rsidR="00877E78" w:rsidRPr="003C25A8">
        <w:rPr>
          <w:rFonts w:ascii="Verdana" w:hAnsi="Verdana" w:cs="Arial"/>
        </w:rPr>
      </w:r>
      <w:r w:rsidR="00877E78" w:rsidRPr="003C25A8">
        <w:rPr>
          <w:rFonts w:ascii="Verdana" w:hAnsi="Verdana" w:cs="Arial"/>
        </w:rPr>
        <w:fldChar w:fldCharType="separate"/>
      </w:r>
      <w:r>
        <w:rPr>
          <w:rFonts w:ascii="Verdana" w:hAnsi="Verdana"/>
        </w:rPr>
        <w:t>     </w:t>
      </w:r>
      <w:r w:rsidR="00877E78" w:rsidRPr="003C25A8">
        <w:rPr>
          <w:rFonts w:ascii="Verdana" w:hAnsi="Verdana" w:cs="Arial"/>
        </w:rPr>
        <w:fldChar w:fldCharType="end"/>
      </w:r>
    </w:p>
    <w:p w:rsidR="00877E78" w:rsidRPr="003C25A8" w:rsidRDefault="00877E78" w:rsidP="00877E78">
      <w:pPr>
        <w:numPr>
          <w:ilvl w:val="12"/>
          <w:numId w:val="0"/>
        </w:numPr>
        <w:tabs>
          <w:tab w:val="left" w:pos="4536"/>
          <w:tab w:val="left" w:pos="6804"/>
        </w:tabs>
        <w:rPr>
          <w:rFonts w:ascii="Verdana" w:hAnsi="Verdana" w:cs="Arial"/>
        </w:rPr>
      </w:pPr>
      <w:r>
        <w:rPr>
          <w:rFonts w:ascii="Verdana" w:hAnsi="Verdana"/>
        </w:rPr>
        <w:tab/>
      </w:r>
      <w:r w:rsidRPr="003C25A8">
        <w:rPr>
          <w:rFonts w:ascii="Verdana" w:hAnsi="Verdana" w:cs="Arial"/>
        </w:rPr>
        <w:fldChar w:fldCharType="begin" w:fldLock="1">
          <w:ffData>
            <w:name w:val="Text1"/>
            <w:enabled/>
            <w:calcOnExit w:val="0"/>
            <w:textInput>
              <w:maxLength w:val="30"/>
            </w:textInput>
          </w:ffData>
        </w:fldChar>
      </w:r>
      <w:r w:rsidRPr="003C25A8">
        <w:rPr>
          <w:rFonts w:ascii="Verdana" w:hAnsi="Verdana" w:cs="Arial"/>
        </w:rPr>
        <w:instrText xml:space="preserve"> FORMTEXT </w:instrText>
      </w:r>
      <w:r w:rsidRPr="003C25A8">
        <w:rPr>
          <w:rFonts w:ascii="Verdana" w:hAnsi="Verdana" w:cs="Arial"/>
        </w:rPr>
      </w:r>
      <w:r w:rsidRPr="003C25A8">
        <w:rPr>
          <w:rFonts w:ascii="Verdana" w:hAnsi="Verdana" w:cs="Arial"/>
        </w:rPr>
        <w:fldChar w:fldCharType="separate"/>
      </w:r>
      <w:r>
        <w:rPr>
          <w:rFonts w:ascii="Verdana" w:hAnsi="Verdana"/>
        </w:rPr>
        <w:t>     </w:t>
      </w:r>
      <w:r w:rsidRPr="003C25A8">
        <w:rPr>
          <w:rFonts w:ascii="Verdana" w:hAnsi="Verdana" w:cs="Arial"/>
        </w:rPr>
        <w:fldChar w:fldCharType="end"/>
      </w:r>
    </w:p>
    <w:p w:rsidR="00774667" w:rsidRPr="003C25A8" w:rsidRDefault="00877E78" w:rsidP="00877E78">
      <w:pPr>
        <w:numPr>
          <w:ilvl w:val="12"/>
          <w:numId w:val="0"/>
        </w:numPr>
        <w:tabs>
          <w:tab w:val="left" w:pos="4536"/>
          <w:tab w:val="left" w:pos="6804"/>
        </w:tabs>
        <w:rPr>
          <w:rFonts w:ascii="Verdana" w:hAnsi="Verdana" w:cs="Arial"/>
        </w:rPr>
      </w:pPr>
      <w:r>
        <w:rPr>
          <w:rFonts w:ascii="Verdana" w:hAnsi="Verdana"/>
        </w:rPr>
        <w:tab/>
      </w:r>
      <w:r w:rsidRPr="003C25A8">
        <w:rPr>
          <w:rFonts w:ascii="Verdana" w:hAnsi="Verdana" w:cs="Arial"/>
        </w:rPr>
        <w:fldChar w:fldCharType="begin" w:fldLock="1">
          <w:ffData>
            <w:name w:val="Text1"/>
            <w:enabled/>
            <w:calcOnExit w:val="0"/>
            <w:textInput>
              <w:maxLength w:val="30"/>
            </w:textInput>
          </w:ffData>
        </w:fldChar>
      </w:r>
      <w:r w:rsidRPr="003C25A8">
        <w:rPr>
          <w:rFonts w:ascii="Verdana" w:hAnsi="Verdana" w:cs="Arial"/>
        </w:rPr>
        <w:instrText xml:space="preserve"> FORMTEXT </w:instrText>
      </w:r>
      <w:r w:rsidRPr="003C25A8">
        <w:rPr>
          <w:rFonts w:ascii="Verdana" w:hAnsi="Verdana" w:cs="Arial"/>
        </w:rPr>
      </w:r>
      <w:r w:rsidRPr="003C25A8">
        <w:rPr>
          <w:rFonts w:ascii="Verdana" w:hAnsi="Verdana" w:cs="Arial"/>
        </w:rPr>
        <w:fldChar w:fldCharType="separate"/>
      </w:r>
      <w:r>
        <w:rPr>
          <w:rFonts w:ascii="Verdana" w:hAnsi="Verdana"/>
        </w:rPr>
        <w:t>     </w:t>
      </w:r>
      <w:r w:rsidRPr="003C25A8">
        <w:rPr>
          <w:rFonts w:ascii="Verdana" w:hAnsi="Verdana" w:cs="Arial"/>
        </w:rPr>
        <w:fldChar w:fldCharType="end"/>
      </w:r>
    </w:p>
    <w:p w:rsidR="00774667" w:rsidRPr="003C25A8" w:rsidRDefault="00774667" w:rsidP="00877E78">
      <w:pPr>
        <w:numPr>
          <w:ilvl w:val="12"/>
          <w:numId w:val="0"/>
        </w:numPr>
        <w:tabs>
          <w:tab w:val="left" w:pos="4536"/>
          <w:tab w:val="left" w:pos="6804"/>
        </w:tabs>
        <w:rPr>
          <w:rFonts w:ascii="Verdana" w:hAnsi="Verdana" w:cs="Arial"/>
        </w:rPr>
      </w:pPr>
    </w:p>
    <w:p w:rsidR="00774667" w:rsidRDefault="006750F1" w:rsidP="00774667">
      <w:pPr>
        <w:spacing w:line="360" w:lineRule="auto"/>
        <w:jc w:val="both"/>
        <w:rPr>
          <w:rFonts w:ascii="Verdana" w:hAnsi="Verdana" w:cs="Arial"/>
          <w:b/>
          <w:u w:val="single"/>
        </w:rPr>
      </w:pPr>
      <w:r>
        <w:rPr>
          <w:rFonts w:ascii="Verdana" w:hAnsi="Verdana"/>
          <w:b/>
          <w:u w:val="single"/>
        </w:rPr>
        <w:t>3.1 General substance requirements</w:t>
      </w:r>
    </w:p>
    <w:p w:rsidR="006E0B1F" w:rsidRPr="003E47AC" w:rsidRDefault="006E0B1F" w:rsidP="006E0B1F">
      <w:pPr>
        <w:tabs>
          <w:tab w:val="left" w:pos="7938"/>
        </w:tabs>
        <w:spacing w:line="360" w:lineRule="auto"/>
        <w:rPr>
          <w:rFonts w:ascii="Verdana" w:hAnsi="Verdana"/>
        </w:rPr>
      </w:pPr>
      <w:r>
        <w:rPr>
          <w:rFonts w:ascii="Verdana" w:hAnsi="Verdana"/>
        </w:rPr>
        <w:t>The materials do not contain any of the following as constituent components:</w:t>
      </w:r>
    </w:p>
    <w:tbl>
      <w:tblPr>
        <w:tblW w:w="0" w:type="auto"/>
        <w:tblCellMar>
          <w:top w:w="57" w:type="dxa"/>
          <w:left w:w="28" w:type="dxa"/>
          <w:bottom w:w="57" w:type="dxa"/>
          <w:right w:w="28" w:type="dxa"/>
        </w:tblCellMar>
        <w:tblLook w:val="04A0" w:firstRow="1" w:lastRow="0" w:firstColumn="1" w:lastColumn="0" w:noHBand="0" w:noVBand="1"/>
      </w:tblPr>
      <w:tblGrid>
        <w:gridCol w:w="312"/>
        <w:gridCol w:w="282"/>
        <w:gridCol w:w="8168"/>
        <w:gridCol w:w="451"/>
      </w:tblGrid>
      <w:tr w:rsidR="006E0B1F" w:rsidRPr="003E47AC" w:rsidTr="007F6A1F">
        <w:tc>
          <w:tcPr>
            <w:tcW w:w="312" w:type="dxa"/>
            <w:shd w:val="clear" w:color="auto" w:fill="auto"/>
          </w:tcPr>
          <w:p w:rsidR="006E0B1F" w:rsidRPr="003E47AC" w:rsidRDefault="006E0B1F" w:rsidP="007F6A1F">
            <w:pPr>
              <w:tabs>
                <w:tab w:val="left" w:pos="7938"/>
              </w:tabs>
              <w:rPr>
                <w:rFonts w:ascii="Verdana" w:hAnsi="Verdana"/>
              </w:rPr>
            </w:pPr>
            <w:r>
              <w:rPr>
                <w:rFonts w:ascii="Verdana" w:hAnsi="Verdana"/>
              </w:rPr>
              <w:t>-</w:t>
            </w:r>
          </w:p>
        </w:tc>
        <w:tc>
          <w:tcPr>
            <w:tcW w:w="8505" w:type="dxa"/>
            <w:gridSpan w:val="2"/>
            <w:shd w:val="clear" w:color="auto" w:fill="auto"/>
          </w:tcPr>
          <w:p w:rsidR="006E0B1F" w:rsidRPr="003E47AC" w:rsidRDefault="006E0B1F" w:rsidP="007F6A1F">
            <w:pPr>
              <w:tabs>
                <w:tab w:val="left" w:pos="7938"/>
              </w:tabs>
              <w:rPr>
                <w:rFonts w:ascii="Verdana" w:hAnsi="Verdana" w:cs="Arial"/>
              </w:rPr>
            </w:pPr>
            <w:r>
              <w:rPr>
                <w:rFonts w:ascii="Verdana" w:hAnsi="Verdana"/>
              </w:rPr>
              <w:t>Substances which are identified as particularly alarming under the European Chemicals Regulation REACH (1907/2006/EC) and which have been incorporated into the list drawn up in accordance with Article 59, Paragraph 1 of the REACH Regulation (so-called "list of candidates");</w:t>
            </w:r>
            <w:r w:rsidRPr="003E47AC">
              <w:rPr>
                <w:rStyle w:val="Funotenzeichen"/>
                <w:rFonts w:ascii="Verdana" w:hAnsi="Verdana" w:cs="Arial"/>
              </w:rPr>
              <w:footnoteReference w:id="1"/>
            </w:r>
          </w:p>
        </w:tc>
        <w:tc>
          <w:tcPr>
            <w:tcW w:w="452" w:type="dxa"/>
            <w:shd w:val="clear" w:color="auto" w:fill="auto"/>
            <w:vAlign w:val="bottom"/>
          </w:tcPr>
          <w:p w:rsidR="006E0B1F" w:rsidRPr="003E47AC" w:rsidRDefault="006E0B1F" w:rsidP="007F6A1F">
            <w:pPr>
              <w:tabs>
                <w:tab w:val="left" w:pos="7938"/>
              </w:tabs>
              <w:jc w:val="right"/>
              <w:rPr>
                <w:rFonts w:ascii="Verdana" w:hAnsi="Verdana"/>
              </w:rPr>
            </w:pPr>
            <w:r w:rsidRPr="003E47AC">
              <w:rPr>
                <w:rFonts w:ascii="Verdana" w:hAnsi="Verdana"/>
              </w:rPr>
              <w:fldChar w:fldCharType="begin">
                <w:ffData>
                  <w:name w:val="Kontrollkästchen67"/>
                  <w:enabled/>
                  <w:calcOnExit w:val="0"/>
                  <w:checkBox>
                    <w:sizeAuto/>
                    <w:default w:val="0"/>
                  </w:checkBox>
                </w:ffData>
              </w:fldChar>
            </w:r>
            <w:bookmarkStart w:id="1" w:name="Kontrollkästchen67"/>
            <w:r w:rsidRPr="003E47AC">
              <w:rPr>
                <w:rFonts w:ascii="Verdana" w:hAnsi="Verdana"/>
              </w:rPr>
              <w:instrText xml:space="preserve"> FORMCHECKBOX </w:instrText>
            </w:r>
            <w:r w:rsidR="00FF09A2">
              <w:rPr>
                <w:rFonts w:ascii="Verdana" w:hAnsi="Verdana"/>
              </w:rPr>
            </w:r>
            <w:r w:rsidR="00FF09A2">
              <w:rPr>
                <w:rFonts w:ascii="Verdana" w:hAnsi="Verdana"/>
              </w:rPr>
              <w:fldChar w:fldCharType="separate"/>
            </w:r>
            <w:r w:rsidRPr="003E47AC">
              <w:rPr>
                <w:rFonts w:ascii="Verdana" w:hAnsi="Verdana"/>
              </w:rPr>
              <w:fldChar w:fldCharType="end"/>
            </w:r>
            <w:bookmarkEnd w:id="1"/>
          </w:p>
        </w:tc>
      </w:tr>
      <w:tr w:rsidR="006E0B1F" w:rsidRPr="003E47AC" w:rsidTr="007F6A1F">
        <w:tc>
          <w:tcPr>
            <w:tcW w:w="312" w:type="dxa"/>
            <w:shd w:val="clear" w:color="auto" w:fill="auto"/>
          </w:tcPr>
          <w:p w:rsidR="006E0B1F" w:rsidRPr="003E47AC" w:rsidRDefault="006E0B1F" w:rsidP="007F6A1F">
            <w:pPr>
              <w:tabs>
                <w:tab w:val="left" w:pos="7938"/>
              </w:tabs>
              <w:rPr>
                <w:rFonts w:ascii="Verdana" w:hAnsi="Verdana"/>
              </w:rPr>
            </w:pPr>
            <w:r>
              <w:rPr>
                <w:rFonts w:ascii="Verdana" w:hAnsi="Verdana"/>
              </w:rPr>
              <w:t>-</w:t>
            </w:r>
          </w:p>
        </w:tc>
        <w:tc>
          <w:tcPr>
            <w:tcW w:w="8505" w:type="dxa"/>
            <w:gridSpan w:val="2"/>
            <w:shd w:val="clear" w:color="auto" w:fill="auto"/>
          </w:tcPr>
          <w:p w:rsidR="006E0B1F" w:rsidRPr="003E47AC" w:rsidRDefault="006E0B1F" w:rsidP="007F6A1F">
            <w:pPr>
              <w:pStyle w:val="Nummerierung"/>
              <w:numPr>
                <w:ilvl w:val="0"/>
                <w:numId w:val="0"/>
              </w:numPr>
              <w:tabs>
                <w:tab w:val="clear" w:pos="1134"/>
                <w:tab w:val="right" w:pos="-6663"/>
                <w:tab w:val="left" w:pos="-6521"/>
              </w:tabs>
              <w:spacing w:line="240" w:lineRule="auto"/>
              <w:rPr>
                <w:rFonts w:ascii="Verdana" w:hAnsi="Verdana"/>
                <w:sz w:val="20"/>
              </w:rPr>
            </w:pPr>
            <w:r>
              <w:rPr>
                <w:rFonts w:ascii="Verdana" w:hAnsi="Verdana"/>
                <w:sz w:val="20"/>
              </w:rPr>
              <w:t>Substances which according to the criteria of the CLP Regulation (EC) No 1272/2008</w:t>
            </w:r>
            <w:r w:rsidRPr="003E47AC">
              <w:rPr>
                <w:rStyle w:val="Funotenzeichen"/>
                <w:rFonts w:ascii="Verdana" w:hAnsi="Verdana"/>
                <w:sz w:val="20"/>
              </w:rPr>
              <w:footnoteReference w:id="2"/>
            </w:r>
            <w:r>
              <w:rPr>
                <w:rFonts w:ascii="Verdana" w:hAnsi="Verdana"/>
                <w:sz w:val="20"/>
              </w:rPr>
              <w:t xml:space="preserve"> are assigned the following hazard classes and categories or which meet the criteria for such classification:</w:t>
            </w:r>
            <w:r>
              <w:rPr>
                <w:rStyle w:val="Funotenzeichen"/>
                <w:rFonts w:ascii="Verdana" w:hAnsi="Verdana"/>
                <w:sz w:val="20"/>
              </w:rPr>
              <w:t xml:space="preserve"> </w:t>
            </w:r>
            <w:r w:rsidRPr="003E47AC">
              <w:rPr>
                <w:rStyle w:val="Funotenzeichen"/>
                <w:rFonts w:ascii="Verdana" w:hAnsi="Verdana"/>
                <w:sz w:val="20"/>
              </w:rPr>
              <w:footnoteReference w:id="3"/>
            </w:r>
            <w:r w:rsidRPr="003E47AC">
              <w:rPr>
                <w:rStyle w:val="Funotenzeichen"/>
                <w:rFonts w:ascii="Verdana" w:hAnsi="Verdana"/>
                <w:sz w:val="20"/>
              </w:rPr>
              <w:t>,</w:t>
            </w:r>
            <w:r>
              <w:rPr>
                <w:rStyle w:val="Funotenzeichen"/>
                <w:rFonts w:ascii="Verdana" w:hAnsi="Verdana"/>
                <w:sz w:val="20"/>
              </w:rPr>
              <w:t>,</w:t>
            </w:r>
            <w:r w:rsidRPr="003E47AC">
              <w:rPr>
                <w:rStyle w:val="Funotenzeichen"/>
                <w:rFonts w:ascii="Verdana" w:hAnsi="Verdana"/>
                <w:sz w:val="20"/>
              </w:rPr>
              <w:footnoteReference w:id="4"/>
            </w:r>
          </w:p>
        </w:tc>
        <w:tc>
          <w:tcPr>
            <w:tcW w:w="452" w:type="dxa"/>
            <w:shd w:val="clear" w:color="auto" w:fill="auto"/>
            <w:vAlign w:val="bottom"/>
          </w:tcPr>
          <w:p w:rsidR="006E0B1F" w:rsidRPr="003E47AC" w:rsidRDefault="006E0B1F" w:rsidP="007F6A1F">
            <w:pPr>
              <w:tabs>
                <w:tab w:val="left" w:pos="7938"/>
              </w:tabs>
              <w:jc w:val="right"/>
              <w:rPr>
                <w:rFonts w:ascii="Verdana" w:hAnsi="Verdana"/>
              </w:rPr>
            </w:pPr>
          </w:p>
        </w:tc>
      </w:tr>
      <w:tr w:rsidR="006E0B1F" w:rsidRPr="003E47AC" w:rsidTr="007F6A1F">
        <w:tc>
          <w:tcPr>
            <w:tcW w:w="595" w:type="dxa"/>
            <w:gridSpan w:val="2"/>
            <w:shd w:val="clear" w:color="auto" w:fill="auto"/>
          </w:tcPr>
          <w:p w:rsidR="006E0B1F" w:rsidRPr="003E47AC" w:rsidRDefault="006E0B1F" w:rsidP="007F6A1F">
            <w:pPr>
              <w:tabs>
                <w:tab w:val="left" w:pos="7938"/>
              </w:tabs>
              <w:ind w:left="340"/>
              <w:rPr>
                <w:rFonts w:ascii="Verdana" w:hAnsi="Verdana"/>
              </w:rPr>
            </w:pPr>
            <w:r>
              <w:rPr>
                <w:rFonts w:ascii="Verdana" w:hAnsi="Verdana"/>
              </w:rPr>
              <w:t>-</w:t>
            </w:r>
          </w:p>
        </w:tc>
        <w:tc>
          <w:tcPr>
            <w:tcW w:w="8222" w:type="dxa"/>
            <w:shd w:val="clear" w:color="auto" w:fill="auto"/>
          </w:tcPr>
          <w:p w:rsidR="006E0B1F" w:rsidRPr="003E47AC" w:rsidRDefault="006E0B1F" w:rsidP="007F6A1F">
            <w:pPr>
              <w:pStyle w:val="Default"/>
            </w:pPr>
            <w:r>
              <w:rPr>
                <w:sz w:val="20"/>
                <w:szCs w:val="20"/>
              </w:rPr>
              <w:t xml:space="preserve">carcinogenic in categories Carc. 1A or Carc. 1B </w:t>
            </w:r>
          </w:p>
        </w:tc>
        <w:tc>
          <w:tcPr>
            <w:tcW w:w="452" w:type="dxa"/>
            <w:shd w:val="clear" w:color="auto" w:fill="auto"/>
            <w:vAlign w:val="bottom"/>
          </w:tcPr>
          <w:p w:rsidR="006E0B1F" w:rsidRPr="003E47AC" w:rsidRDefault="006E0B1F" w:rsidP="007F6A1F">
            <w:pPr>
              <w:tabs>
                <w:tab w:val="left" w:pos="7938"/>
              </w:tabs>
              <w:jc w:val="right"/>
              <w:rPr>
                <w:rFonts w:ascii="Verdana" w:hAnsi="Verdana"/>
              </w:rPr>
            </w:pPr>
            <w:r w:rsidRPr="003E47AC">
              <w:rPr>
                <w:rFonts w:ascii="Verdana" w:hAnsi="Verdana"/>
              </w:rPr>
              <w:fldChar w:fldCharType="begin">
                <w:ffData>
                  <w:name w:val="Kontrollkästchen68"/>
                  <w:enabled/>
                  <w:calcOnExit w:val="0"/>
                  <w:checkBox>
                    <w:sizeAuto/>
                    <w:default w:val="0"/>
                  </w:checkBox>
                </w:ffData>
              </w:fldChar>
            </w:r>
            <w:bookmarkStart w:id="2" w:name="Kontrollkästchen68"/>
            <w:r w:rsidRPr="003E47AC">
              <w:rPr>
                <w:rFonts w:ascii="Verdana" w:hAnsi="Verdana"/>
              </w:rPr>
              <w:instrText xml:space="preserve"> FORMCHECKBOX </w:instrText>
            </w:r>
            <w:r w:rsidR="00FF09A2">
              <w:rPr>
                <w:rFonts w:ascii="Verdana" w:hAnsi="Verdana"/>
              </w:rPr>
            </w:r>
            <w:r w:rsidR="00FF09A2">
              <w:rPr>
                <w:rFonts w:ascii="Verdana" w:hAnsi="Verdana"/>
              </w:rPr>
              <w:fldChar w:fldCharType="separate"/>
            </w:r>
            <w:r w:rsidRPr="003E47AC">
              <w:rPr>
                <w:rFonts w:ascii="Verdana" w:hAnsi="Verdana"/>
              </w:rPr>
              <w:fldChar w:fldCharType="end"/>
            </w:r>
            <w:bookmarkEnd w:id="2"/>
          </w:p>
        </w:tc>
      </w:tr>
      <w:tr w:rsidR="006E0B1F" w:rsidRPr="003E47AC" w:rsidTr="007F6A1F">
        <w:tc>
          <w:tcPr>
            <w:tcW w:w="595" w:type="dxa"/>
            <w:gridSpan w:val="2"/>
            <w:shd w:val="clear" w:color="auto" w:fill="auto"/>
          </w:tcPr>
          <w:p w:rsidR="006E0B1F" w:rsidRPr="003E47AC" w:rsidRDefault="006E0B1F" w:rsidP="007F6A1F">
            <w:pPr>
              <w:tabs>
                <w:tab w:val="left" w:pos="7938"/>
              </w:tabs>
              <w:ind w:left="340"/>
              <w:rPr>
                <w:rFonts w:ascii="Verdana" w:hAnsi="Verdana"/>
              </w:rPr>
            </w:pPr>
            <w:r>
              <w:rPr>
                <w:rFonts w:ascii="Verdana" w:hAnsi="Verdana"/>
              </w:rPr>
              <w:t>-</w:t>
            </w:r>
          </w:p>
        </w:tc>
        <w:tc>
          <w:tcPr>
            <w:tcW w:w="8222" w:type="dxa"/>
            <w:shd w:val="clear" w:color="auto" w:fill="auto"/>
          </w:tcPr>
          <w:p w:rsidR="006E0B1F" w:rsidRPr="003E47AC" w:rsidRDefault="006E0B1F" w:rsidP="007F6A1F">
            <w:pPr>
              <w:pStyle w:val="Default"/>
            </w:pPr>
            <w:r>
              <w:rPr>
                <w:sz w:val="20"/>
                <w:szCs w:val="20"/>
              </w:rPr>
              <w:t xml:space="preserve">germ cell mutagenic in categories Muta. 1A or Muta. 1B </w:t>
            </w:r>
          </w:p>
        </w:tc>
        <w:tc>
          <w:tcPr>
            <w:tcW w:w="452" w:type="dxa"/>
            <w:shd w:val="clear" w:color="auto" w:fill="auto"/>
            <w:vAlign w:val="bottom"/>
          </w:tcPr>
          <w:p w:rsidR="006E0B1F" w:rsidRPr="003E47AC" w:rsidRDefault="006E0B1F" w:rsidP="007F6A1F">
            <w:pPr>
              <w:tabs>
                <w:tab w:val="left" w:pos="7938"/>
              </w:tabs>
              <w:jc w:val="right"/>
              <w:rPr>
                <w:rFonts w:ascii="Verdana" w:hAnsi="Verdana"/>
              </w:rPr>
            </w:pPr>
            <w:r w:rsidRPr="003E47AC">
              <w:rPr>
                <w:rFonts w:ascii="Verdana" w:hAnsi="Verdana"/>
              </w:rPr>
              <w:fldChar w:fldCharType="begin">
                <w:ffData>
                  <w:name w:val="Kontrollkästchen69"/>
                  <w:enabled/>
                  <w:calcOnExit w:val="0"/>
                  <w:checkBox>
                    <w:sizeAuto/>
                    <w:default w:val="0"/>
                  </w:checkBox>
                </w:ffData>
              </w:fldChar>
            </w:r>
            <w:bookmarkStart w:id="3" w:name="Kontrollkästchen69"/>
            <w:r w:rsidRPr="003E47AC">
              <w:rPr>
                <w:rFonts w:ascii="Verdana" w:hAnsi="Verdana"/>
              </w:rPr>
              <w:instrText xml:space="preserve"> FORMCHECKBOX </w:instrText>
            </w:r>
            <w:r w:rsidR="00FF09A2">
              <w:rPr>
                <w:rFonts w:ascii="Verdana" w:hAnsi="Verdana"/>
              </w:rPr>
            </w:r>
            <w:r w:rsidR="00FF09A2">
              <w:rPr>
                <w:rFonts w:ascii="Verdana" w:hAnsi="Verdana"/>
              </w:rPr>
              <w:fldChar w:fldCharType="separate"/>
            </w:r>
            <w:r w:rsidRPr="003E47AC">
              <w:rPr>
                <w:rFonts w:ascii="Verdana" w:hAnsi="Verdana"/>
              </w:rPr>
              <w:fldChar w:fldCharType="end"/>
            </w:r>
            <w:bookmarkEnd w:id="3"/>
          </w:p>
        </w:tc>
      </w:tr>
      <w:tr w:rsidR="006E0B1F" w:rsidRPr="003E47AC" w:rsidTr="007F6A1F">
        <w:tc>
          <w:tcPr>
            <w:tcW w:w="595" w:type="dxa"/>
            <w:gridSpan w:val="2"/>
            <w:shd w:val="clear" w:color="auto" w:fill="auto"/>
          </w:tcPr>
          <w:p w:rsidR="006E0B1F" w:rsidRPr="003E47AC" w:rsidRDefault="006E0B1F" w:rsidP="007F6A1F">
            <w:pPr>
              <w:tabs>
                <w:tab w:val="left" w:pos="7938"/>
              </w:tabs>
              <w:ind w:left="340"/>
              <w:rPr>
                <w:rFonts w:ascii="Verdana" w:hAnsi="Verdana"/>
              </w:rPr>
            </w:pPr>
            <w:r>
              <w:rPr>
                <w:rFonts w:ascii="Verdana" w:hAnsi="Verdana"/>
              </w:rPr>
              <w:t>-</w:t>
            </w:r>
          </w:p>
        </w:tc>
        <w:tc>
          <w:tcPr>
            <w:tcW w:w="8222" w:type="dxa"/>
            <w:shd w:val="clear" w:color="auto" w:fill="auto"/>
          </w:tcPr>
          <w:p w:rsidR="006E0B1F" w:rsidRPr="003E47AC" w:rsidRDefault="006E0B1F" w:rsidP="007F6A1F">
            <w:pPr>
              <w:pStyle w:val="Default"/>
            </w:pPr>
            <w:r>
              <w:rPr>
                <w:sz w:val="20"/>
                <w:szCs w:val="20"/>
              </w:rPr>
              <w:t xml:space="preserve">reprotoxic (teratogenic) in categories Repr. 1A or Repr. 1B </w:t>
            </w:r>
          </w:p>
        </w:tc>
        <w:tc>
          <w:tcPr>
            <w:tcW w:w="452" w:type="dxa"/>
            <w:shd w:val="clear" w:color="auto" w:fill="auto"/>
            <w:vAlign w:val="bottom"/>
          </w:tcPr>
          <w:p w:rsidR="006E0B1F" w:rsidRPr="003E47AC" w:rsidRDefault="006E0B1F" w:rsidP="007F6A1F">
            <w:pPr>
              <w:tabs>
                <w:tab w:val="left" w:pos="7938"/>
              </w:tabs>
              <w:jc w:val="right"/>
              <w:rPr>
                <w:rFonts w:ascii="Verdana" w:hAnsi="Verdana"/>
              </w:rPr>
            </w:pPr>
            <w:r w:rsidRPr="003E47AC">
              <w:rPr>
                <w:rFonts w:ascii="Verdana" w:hAnsi="Verdana"/>
              </w:rPr>
              <w:fldChar w:fldCharType="begin">
                <w:ffData>
                  <w:name w:val="Kontrollkästchen69"/>
                  <w:enabled/>
                  <w:calcOnExit w:val="0"/>
                  <w:checkBox>
                    <w:sizeAuto/>
                    <w:default w:val="0"/>
                  </w:checkBox>
                </w:ffData>
              </w:fldChar>
            </w:r>
            <w:r w:rsidRPr="003E47AC">
              <w:rPr>
                <w:rFonts w:ascii="Verdana" w:hAnsi="Verdana"/>
              </w:rPr>
              <w:instrText xml:space="preserve"> FORMCHECKBOX </w:instrText>
            </w:r>
            <w:r w:rsidR="00FF09A2">
              <w:rPr>
                <w:rFonts w:ascii="Verdana" w:hAnsi="Verdana"/>
              </w:rPr>
            </w:r>
            <w:r w:rsidR="00FF09A2">
              <w:rPr>
                <w:rFonts w:ascii="Verdana" w:hAnsi="Verdana"/>
              </w:rPr>
              <w:fldChar w:fldCharType="separate"/>
            </w:r>
            <w:r w:rsidRPr="003E47AC">
              <w:rPr>
                <w:rFonts w:ascii="Verdana" w:hAnsi="Verdana"/>
              </w:rPr>
              <w:fldChar w:fldCharType="end"/>
            </w:r>
          </w:p>
        </w:tc>
      </w:tr>
      <w:tr w:rsidR="006E0B1F" w:rsidRPr="003E47AC" w:rsidTr="007F6A1F">
        <w:tc>
          <w:tcPr>
            <w:tcW w:w="595" w:type="dxa"/>
            <w:gridSpan w:val="2"/>
            <w:shd w:val="clear" w:color="auto" w:fill="auto"/>
          </w:tcPr>
          <w:p w:rsidR="006E0B1F" w:rsidRPr="003E47AC" w:rsidRDefault="006E0B1F" w:rsidP="007F6A1F">
            <w:pPr>
              <w:tabs>
                <w:tab w:val="left" w:pos="7938"/>
              </w:tabs>
              <w:ind w:left="340"/>
              <w:rPr>
                <w:rFonts w:ascii="Verdana" w:hAnsi="Verdana"/>
              </w:rPr>
            </w:pPr>
            <w:r>
              <w:rPr>
                <w:rFonts w:ascii="Verdana" w:hAnsi="Verdana"/>
              </w:rPr>
              <w:t>-</w:t>
            </w:r>
          </w:p>
        </w:tc>
        <w:tc>
          <w:tcPr>
            <w:tcW w:w="8222" w:type="dxa"/>
            <w:shd w:val="clear" w:color="auto" w:fill="auto"/>
          </w:tcPr>
          <w:p w:rsidR="006E0B1F" w:rsidRPr="003E47AC" w:rsidRDefault="006E0B1F" w:rsidP="007F6A1F">
            <w:pPr>
              <w:pStyle w:val="Default"/>
            </w:pPr>
            <w:r>
              <w:rPr>
                <w:sz w:val="20"/>
                <w:szCs w:val="20"/>
              </w:rPr>
              <w:t xml:space="preserve">acute toxicity (poisonous) in categories Acute Tox. 1, Acute Tox. 2 </w:t>
            </w:r>
          </w:p>
        </w:tc>
        <w:tc>
          <w:tcPr>
            <w:tcW w:w="452" w:type="dxa"/>
            <w:shd w:val="clear" w:color="auto" w:fill="auto"/>
            <w:vAlign w:val="bottom"/>
          </w:tcPr>
          <w:p w:rsidR="006E0B1F" w:rsidRPr="003E47AC" w:rsidRDefault="006E0B1F" w:rsidP="007F6A1F">
            <w:pPr>
              <w:tabs>
                <w:tab w:val="left" w:pos="7938"/>
              </w:tabs>
              <w:jc w:val="right"/>
              <w:rPr>
                <w:rFonts w:ascii="Verdana" w:hAnsi="Verdana"/>
              </w:rPr>
            </w:pPr>
            <w:r w:rsidRPr="003E47AC">
              <w:rPr>
                <w:rFonts w:ascii="Verdana" w:hAnsi="Verdana"/>
              </w:rPr>
              <w:fldChar w:fldCharType="begin">
                <w:ffData>
                  <w:name w:val="Kontrollkästchen69"/>
                  <w:enabled/>
                  <w:calcOnExit w:val="0"/>
                  <w:checkBox>
                    <w:sizeAuto/>
                    <w:default w:val="0"/>
                  </w:checkBox>
                </w:ffData>
              </w:fldChar>
            </w:r>
            <w:r w:rsidRPr="003E47AC">
              <w:rPr>
                <w:rFonts w:ascii="Verdana" w:hAnsi="Verdana"/>
              </w:rPr>
              <w:instrText xml:space="preserve"> FORMCHECKBOX </w:instrText>
            </w:r>
            <w:r w:rsidR="00FF09A2">
              <w:rPr>
                <w:rFonts w:ascii="Verdana" w:hAnsi="Verdana"/>
              </w:rPr>
            </w:r>
            <w:r w:rsidR="00FF09A2">
              <w:rPr>
                <w:rFonts w:ascii="Verdana" w:hAnsi="Verdana"/>
              </w:rPr>
              <w:fldChar w:fldCharType="separate"/>
            </w:r>
            <w:r w:rsidRPr="003E47AC">
              <w:rPr>
                <w:rFonts w:ascii="Verdana" w:hAnsi="Verdana"/>
              </w:rPr>
              <w:fldChar w:fldCharType="end"/>
            </w:r>
          </w:p>
        </w:tc>
      </w:tr>
      <w:tr w:rsidR="006E0B1F" w:rsidRPr="003E47AC" w:rsidTr="007F6A1F">
        <w:tc>
          <w:tcPr>
            <w:tcW w:w="595" w:type="dxa"/>
            <w:gridSpan w:val="2"/>
            <w:shd w:val="clear" w:color="auto" w:fill="auto"/>
          </w:tcPr>
          <w:p w:rsidR="006E0B1F" w:rsidRPr="003E47AC" w:rsidRDefault="006E0B1F" w:rsidP="007F6A1F">
            <w:pPr>
              <w:tabs>
                <w:tab w:val="left" w:pos="7938"/>
              </w:tabs>
              <w:ind w:left="340"/>
              <w:rPr>
                <w:rFonts w:ascii="Verdana" w:hAnsi="Verdana"/>
              </w:rPr>
            </w:pPr>
            <w:r>
              <w:rPr>
                <w:rFonts w:ascii="Verdana" w:hAnsi="Verdana"/>
              </w:rPr>
              <w:t>-</w:t>
            </w:r>
          </w:p>
        </w:tc>
        <w:tc>
          <w:tcPr>
            <w:tcW w:w="8222" w:type="dxa"/>
            <w:shd w:val="clear" w:color="auto" w:fill="auto"/>
          </w:tcPr>
          <w:p w:rsidR="006E0B1F" w:rsidRPr="003E47AC" w:rsidRDefault="006E0B1F" w:rsidP="007F6A1F">
            <w:pPr>
              <w:pStyle w:val="Default"/>
            </w:pPr>
            <w:r>
              <w:rPr>
                <w:sz w:val="20"/>
                <w:szCs w:val="20"/>
              </w:rPr>
              <w:t>specific target organ toxicity in categories STOT SE 1 or STOT RE 1</w:t>
            </w:r>
          </w:p>
        </w:tc>
        <w:tc>
          <w:tcPr>
            <w:tcW w:w="452" w:type="dxa"/>
            <w:shd w:val="clear" w:color="auto" w:fill="auto"/>
            <w:vAlign w:val="bottom"/>
          </w:tcPr>
          <w:p w:rsidR="006E0B1F" w:rsidRPr="003E47AC" w:rsidRDefault="006E0B1F" w:rsidP="007F6A1F">
            <w:pPr>
              <w:tabs>
                <w:tab w:val="left" w:pos="7938"/>
              </w:tabs>
              <w:jc w:val="right"/>
              <w:rPr>
                <w:rFonts w:ascii="Verdana" w:hAnsi="Verdana"/>
              </w:rPr>
            </w:pPr>
            <w:r w:rsidRPr="003E47AC">
              <w:rPr>
                <w:rFonts w:ascii="Verdana" w:hAnsi="Verdana"/>
              </w:rPr>
              <w:fldChar w:fldCharType="begin">
                <w:ffData>
                  <w:name w:val="Kontrollkästchen69"/>
                  <w:enabled/>
                  <w:calcOnExit w:val="0"/>
                  <w:checkBox>
                    <w:sizeAuto/>
                    <w:default w:val="0"/>
                  </w:checkBox>
                </w:ffData>
              </w:fldChar>
            </w:r>
            <w:r w:rsidRPr="003E47AC">
              <w:rPr>
                <w:rFonts w:ascii="Verdana" w:hAnsi="Verdana"/>
              </w:rPr>
              <w:instrText xml:space="preserve"> FORMCHECKBOX </w:instrText>
            </w:r>
            <w:r w:rsidR="00FF09A2">
              <w:rPr>
                <w:rFonts w:ascii="Verdana" w:hAnsi="Verdana"/>
              </w:rPr>
            </w:r>
            <w:r w:rsidR="00FF09A2">
              <w:rPr>
                <w:rFonts w:ascii="Verdana" w:hAnsi="Verdana"/>
              </w:rPr>
              <w:fldChar w:fldCharType="separate"/>
            </w:r>
            <w:r w:rsidRPr="003E47AC">
              <w:rPr>
                <w:rFonts w:ascii="Verdana" w:hAnsi="Verdana"/>
              </w:rPr>
              <w:fldChar w:fldCharType="end"/>
            </w:r>
          </w:p>
        </w:tc>
      </w:tr>
      <w:tr w:rsidR="006E0B1F" w:rsidRPr="003E47AC" w:rsidTr="007F6A1F">
        <w:tc>
          <w:tcPr>
            <w:tcW w:w="312" w:type="dxa"/>
            <w:shd w:val="clear" w:color="auto" w:fill="auto"/>
          </w:tcPr>
          <w:p w:rsidR="006E0B1F" w:rsidRPr="003E47AC" w:rsidRDefault="006E0B1F" w:rsidP="007F6A1F">
            <w:pPr>
              <w:tabs>
                <w:tab w:val="left" w:pos="7938"/>
              </w:tabs>
              <w:rPr>
                <w:rFonts w:ascii="Verdana" w:hAnsi="Verdana"/>
              </w:rPr>
            </w:pPr>
            <w:r>
              <w:rPr>
                <w:rFonts w:ascii="Verdana" w:hAnsi="Verdana"/>
              </w:rPr>
              <w:t>-</w:t>
            </w:r>
          </w:p>
        </w:tc>
        <w:tc>
          <w:tcPr>
            <w:tcW w:w="8505" w:type="dxa"/>
            <w:gridSpan w:val="2"/>
            <w:shd w:val="clear" w:color="auto" w:fill="auto"/>
          </w:tcPr>
          <w:p w:rsidR="006E0B1F" w:rsidRPr="003E47AC" w:rsidRDefault="006E0B1F" w:rsidP="007F6A1F">
            <w:pPr>
              <w:tabs>
                <w:tab w:val="left" w:pos="7938"/>
              </w:tabs>
              <w:rPr>
                <w:rFonts w:ascii="Verdana" w:hAnsi="Verdana" w:cs="Arial"/>
              </w:rPr>
            </w:pPr>
            <w:r>
              <w:rPr>
                <w:rFonts w:ascii="Verdana" w:hAnsi="Verdana"/>
              </w:rPr>
              <w:t>Substances that are classified in TRGS 905</w:t>
            </w:r>
            <w:r w:rsidRPr="003E47AC">
              <w:rPr>
                <w:rStyle w:val="Funotenzeichen"/>
                <w:rFonts w:ascii="Verdana" w:hAnsi="Verdana" w:cs="Arial"/>
              </w:rPr>
              <w:footnoteReference w:id="5"/>
            </w:r>
            <w:r>
              <w:rPr>
                <w:rFonts w:ascii="Verdana" w:hAnsi="Verdana"/>
              </w:rPr>
              <w:t xml:space="preserve"> as:</w:t>
            </w:r>
          </w:p>
        </w:tc>
        <w:tc>
          <w:tcPr>
            <w:tcW w:w="452" w:type="dxa"/>
            <w:shd w:val="clear" w:color="auto" w:fill="auto"/>
            <w:vAlign w:val="bottom"/>
          </w:tcPr>
          <w:p w:rsidR="006E0B1F" w:rsidRPr="003E47AC" w:rsidRDefault="006E0B1F" w:rsidP="007F6A1F">
            <w:pPr>
              <w:tabs>
                <w:tab w:val="left" w:pos="7938"/>
              </w:tabs>
              <w:jc w:val="right"/>
              <w:rPr>
                <w:rFonts w:ascii="Verdana" w:hAnsi="Verdana"/>
              </w:rPr>
            </w:pPr>
          </w:p>
        </w:tc>
      </w:tr>
      <w:tr w:rsidR="006E0B1F" w:rsidRPr="003E47AC" w:rsidTr="007F6A1F">
        <w:tc>
          <w:tcPr>
            <w:tcW w:w="595" w:type="dxa"/>
            <w:gridSpan w:val="2"/>
            <w:shd w:val="clear" w:color="auto" w:fill="auto"/>
          </w:tcPr>
          <w:p w:rsidR="006E0B1F" w:rsidRPr="003E47AC" w:rsidRDefault="006E0B1F" w:rsidP="007F6A1F">
            <w:pPr>
              <w:tabs>
                <w:tab w:val="left" w:pos="7938"/>
              </w:tabs>
              <w:ind w:left="340"/>
              <w:rPr>
                <w:rFonts w:ascii="Verdana" w:hAnsi="Verdana"/>
              </w:rPr>
            </w:pPr>
            <w:r>
              <w:rPr>
                <w:rFonts w:ascii="Verdana" w:hAnsi="Verdana"/>
              </w:rPr>
              <w:lastRenderedPageBreak/>
              <w:t>-</w:t>
            </w:r>
          </w:p>
        </w:tc>
        <w:tc>
          <w:tcPr>
            <w:tcW w:w="8222" w:type="dxa"/>
            <w:shd w:val="clear" w:color="auto" w:fill="auto"/>
          </w:tcPr>
          <w:p w:rsidR="006E0B1F" w:rsidRPr="003E47AC" w:rsidRDefault="006E0B1F" w:rsidP="007F6A1F">
            <w:pPr>
              <w:pStyle w:val="StichpunkteunterNummerierung"/>
              <w:numPr>
                <w:ilvl w:val="0"/>
                <w:numId w:val="0"/>
              </w:numPr>
              <w:spacing w:line="240" w:lineRule="auto"/>
              <w:rPr>
                <w:rFonts w:ascii="Verdana" w:hAnsi="Verdana"/>
                <w:sz w:val="20"/>
              </w:rPr>
            </w:pPr>
            <w:r>
              <w:rPr>
                <w:rFonts w:ascii="Verdana" w:hAnsi="Verdana"/>
                <w:sz w:val="20"/>
              </w:rPr>
              <w:t>Carcinogenic (K1, K2)</w:t>
            </w:r>
          </w:p>
        </w:tc>
        <w:tc>
          <w:tcPr>
            <w:tcW w:w="452" w:type="dxa"/>
            <w:shd w:val="clear" w:color="auto" w:fill="auto"/>
            <w:vAlign w:val="bottom"/>
          </w:tcPr>
          <w:p w:rsidR="006E0B1F" w:rsidRPr="003E47AC" w:rsidRDefault="006E0B1F" w:rsidP="007F6A1F">
            <w:pPr>
              <w:tabs>
                <w:tab w:val="left" w:pos="7938"/>
              </w:tabs>
              <w:jc w:val="right"/>
              <w:rPr>
                <w:rFonts w:ascii="Verdana" w:hAnsi="Verdana"/>
              </w:rPr>
            </w:pPr>
            <w:r w:rsidRPr="003E47AC">
              <w:rPr>
                <w:rFonts w:ascii="Verdana" w:hAnsi="Verdana"/>
              </w:rPr>
              <w:fldChar w:fldCharType="begin">
                <w:ffData>
                  <w:name w:val="Kontrollkästchen69"/>
                  <w:enabled/>
                  <w:calcOnExit w:val="0"/>
                  <w:checkBox>
                    <w:sizeAuto/>
                    <w:default w:val="0"/>
                  </w:checkBox>
                </w:ffData>
              </w:fldChar>
            </w:r>
            <w:r w:rsidRPr="003E47AC">
              <w:rPr>
                <w:rFonts w:ascii="Verdana" w:hAnsi="Verdana"/>
              </w:rPr>
              <w:instrText xml:space="preserve"> FORMCHECKBOX </w:instrText>
            </w:r>
            <w:r w:rsidR="00FF09A2">
              <w:rPr>
                <w:rFonts w:ascii="Verdana" w:hAnsi="Verdana"/>
              </w:rPr>
            </w:r>
            <w:r w:rsidR="00FF09A2">
              <w:rPr>
                <w:rFonts w:ascii="Verdana" w:hAnsi="Verdana"/>
              </w:rPr>
              <w:fldChar w:fldCharType="separate"/>
            </w:r>
            <w:r w:rsidRPr="003E47AC">
              <w:rPr>
                <w:rFonts w:ascii="Verdana" w:hAnsi="Verdana"/>
              </w:rPr>
              <w:fldChar w:fldCharType="end"/>
            </w:r>
          </w:p>
        </w:tc>
      </w:tr>
      <w:tr w:rsidR="006E0B1F" w:rsidRPr="003E47AC" w:rsidTr="007F6A1F">
        <w:tc>
          <w:tcPr>
            <w:tcW w:w="595" w:type="dxa"/>
            <w:gridSpan w:val="2"/>
            <w:shd w:val="clear" w:color="auto" w:fill="auto"/>
          </w:tcPr>
          <w:p w:rsidR="006E0B1F" w:rsidRPr="003E47AC" w:rsidRDefault="006E0B1F" w:rsidP="007F6A1F">
            <w:pPr>
              <w:tabs>
                <w:tab w:val="left" w:pos="7938"/>
              </w:tabs>
              <w:ind w:left="340"/>
              <w:rPr>
                <w:rFonts w:ascii="Verdana" w:hAnsi="Verdana"/>
              </w:rPr>
            </w:pPr>
            <w:r>
              <w:rPr>
                <w:rFonts w:ascii="Verdana" w:hAnsi="Verdana"/>
              </w:rPr>
              <w:t>-</w:t>
            </w:r>
          </w:p>
        </w:tc>
        <w:tc>
          <w:tcPr>
            <w:tcW w:w="8222" w:type="dxa"/>
            <w:shd w:val="clear" w:color="auto" w:fill="auto"/>
          </w:tcPr>
          <w:p w:rsidR="006E0B1F" w:rsidRPr="003E47AC" w:rsidRDefault="006E0B1F" w:rsidP="007F6A1F">
            <w:pPr>
              <w:pStyle w:val="StichpunkteunterNummerierung"/>
              <w:numPr>
                <w:ilvl w:val="0"/>
                <w:numId w:val="0"/>
              </w:numPr>
              <w:spacing w:line="240" w:lineRule="auto"/>
              <w:rPr>
                <w:rFonts w:ascii="Verdana" w:hAnsi="Verdana"/>
                <w:sz w:val="20"/>
              </w:rPr>
            </w:pPr>
            <w:r>
              <w:rPr>
                <w:rFonts w:ascii="Verdana" w:hAnsi="Verdana"/>
                <w:sz w:val="20"/>
              </w:rPr>
              <w:t>Mutagenic (M1, M2)</w:t>
            </w:r>
          </w:p>
        </w:tc>
        <w:tc>
          <w:tcPr>
            <w:tcW w:w="452" w:type="dxa"/>
            <w:shd w:val="clear" w:color="auto" w:fill="auto"/>
            <w:vAlign w:val="bottom"/>
          </w:tcPr>
          <w:p w:rsidR="006E0B1F" w:rsidRPr="003E47AC" w:rsidRDefault="006E0B1F" w:rsidP="007F6A1F">
            <w:pPr>
              <w:tabs>
                <w:tab w:val="left" w:pos="7938"/>
              </w:tabs>
              <w:jc w:val="right"/>
              <w:rPr>
                <w:rFonts w:ascii="Verdana" w:hAnsi="Verdana"/>
              </w:rPr>
            </w:pPr>
            <w:r w:rsidRPr="003E47AC">
              <w:rPr>
                <w:rFonts w:ascii="Verdana" w:hAnsi="Verdana"/>
              </w:rPr>
              <w:fldChar w:fldCharType="begin">
                <w:ffData>
                  <w:name w:val="Kontrollkästchen69"/>
                  <w:enabled/>
                  <w:calcOnExit w:val="0"/>
                  <w:checkBox>
                    <w:sizeAuto/>
                    <w:default w:val="0"/>
                  </w:checkBox>
                </w:ffData>
              </w:fldChar>
            </w:r>
            <w:r w:rsidRPr="003E47AC">
              <w:rPr>
                <w:rFonts w:ascii="Verdana" w:hAnsi="Verdana"/>
              </w:rPr>
              <w:instrText xml:space="preserve"> FORMCHECKBOX </w:instrText>
            </w:r>
            <w:r w:rsidR="00FF09A2">
              <w:rPr>
                <w:rFonts w:ascii="Verdana" w:hAnsi="Verdana"/>
              </w:rPr>
            </w:r>
            <w:r w:rsidR="00FF09A2">
              <w:rPr>
                <w:rFonts w:ascii="Verdana" w:hAnsi="Verdana"/>
              </w:rPr>
              <w:fldChar w:fldCharType="separate"/>
            </w:r>
            <w:r w:rsidRPr="003E47AC">
              <w:rPr>
                <w:rFonts w:ascii="Verdana" w:hAnsi="Verdana"/>
              </w:rPr>
              <w:fldChar w:fldCharType="end"/>
            </w:r>
          </w:p>
        </w:tc>
      </w:tr>
      <w:tr w:rsidR="006E0B1F" w:rsidRPr="003E47AC" w:rsidTr="007F6A1F">
        <w:tc>
          <w:tcPr>
            <w:tcW w:w="595" w:type="dxa"/>
            <w:gridSpan w:val="2"/>
            <w:shd w:val="clear" w:color="auto" w:fill="auto"/>
          </w:tcPr>
          <w:p w:rsidR="006E0B1F" w:rsidRPr="003E47AC" w:rsidRDefault="006E0B1F" w:rsidP="007F6A1F">
            <w:pPr>
              <w:tabs>
                <w:tab w:val="left" w:pos="7938"/>
              </w:tabs>
              <w:ind w:left="340"/>
              <w:rPr>
                <w:rFonts w:ascii="Verdana" w:hAnsi="Verdana"/>
              </w:rPr>
            </w:pPr>
            <w:r>
              <w:rPr>
                <w:rFonts w:ascii="Verdana" w:hAnsi="Verdana"/>
              </w:rPr>
              <w:t>-</w:t>
            </w:r>
          </w:p>
        </w:tc>
        <w:tc>
          <w:tcPr>
            <w:tcW w:w="8222" w:type="dxa"/>
            <w:shd w:val="clear" w:color="auto" w:fill="auto"/>
          </w:tcPr>
          <w:p w:rsidR="006E0B1F" w:rsidRPr="003E47AC" w:rsidRDefault="006E0B1F" w:rsidP="007F6A1F">
            <w:pPr>
              <w:pStyle w:val="Default"/>
              <w:rPr>
                <w:sz w:val="20"/>
              </w:rPr>
            </w:pPr>
            <w:r>
              <w:rPr>
                <w:sz w:val="20"/>
              </w:rPr>
              <w:t xml:space="preserve">Reprotoxic </w:t>
            </w:r>
            <w:r>
              <w:rPr>
                <w:sz w:val="20"/>
                <w:szCs w:val="20"/>
              </w:rPr>
              <w:t>(R</w:t>
            </w:r>
            <w:r>
              <w:rPr>
                <w:sz w:val="13"/>
                <w:szCs w:val="13"/>
              </w:rPr>
              <w:t>F</w:t>
            </w:r>
            <w:r>
              <w:rPr>
                <w:sz w:val="20"/>
                <w:szCs w:val="20"/>
              </w:rPr>
              <w:t>1A, R</w:t>
            </w:r>
            <w:r>
              <w:rPr>
                <w:sz w:val="13"/>
                <w:szCs w:val="13"/>
              </w:rPr>
              <w:t>F</w:t>
            </w:r>
            <w:r>
              <w:rPr>
                <w:sz w:val="20"/>
                <w:szCs w:val="20"/>
              </w:rPr>
              <w:t>1B, R</w:t>
            </w:r>
            <w:r>
              <w:rPr>
                <w:sz w:val="13"/>
                <w:szCs w:val="13"/>
              </w:rPr>
              <w:t>D</w:t>
            </w:r>
            <w:r>
              <w:rPr>
                <w:sz w:val="20"/>
                <w:szCs w:val="20"/>
              </w:rPr>
              <w:t>1A, R</w:t>
            </w:r>
            <w:r>
              <w:rPr>
                <w:sz w:val="13"/>
                <w:szCs w:val="13"/>
              </w:rPr>
              <w:t>D</w:t>
            </w:r>
            <w:r>
              <w:rPr>
                <w:sz w:val="20"/>
                <w:szCs w:val="20"/>
              </w:rPr>
              <w:t>1B)</w:t>
            </w:r>
          </w:p>
        </w:tc>
        <w:tc>
          <w:tcPr>
            <w:tcW w:w="452" w:type="dxa"/>
            <w:shd w:val="clear" w:color="auto" w:fill="auto"/>
            <w:vAlign w:val="bottom"/>
          </w:tcPr>
          <w:p w:rsidR="006E0B1F" w:rsidRPr="003E47AC" w:rsidRDefault="006E0B1F" w:rsidP="007F6A1F">
            <w:pPr>
              <w:tabs>
                <w:tab w:val="left" w:pos="7938"/>
              </w:tabs>
              <w:jc w:val="right"/>
              <w:rPr>
                <w:rFonts w:ascii="Verdana" w:hAnsi="Verdana"/>
              </w:rPr>
            </w:pPr>
            <w:r w:rsidRPr="003E47AC">
              <w:rPr>
                <w:rFonts w:ascii="Verdana" w:hAnsi="Verdana"/>
              </w:rPr>
              <w:fldChar w:fldCharType="begin">
                <w:ffData>
                  <w:name w:val="Kontrollkästchen69"/>
                  <w:enabled/>
                  <w:calcOnExit w:val="0"/>
                  <w:checkBox>
                    <w:sizeAuto/>
                    <w:default w:val="0"/>
                  </w:checkBox>
                </w:ffData>
              </w:fldChar>
            </w:r>
            <w:r w:rsidRPr="003E47AC">
              <w:rPr>
                <w:rFonts w:ascii="Verdana" w:hAnsi="Verdana"/>
              </w:rPr>
              <w:instrText xml:space="preserve"> FORMCHECKBOX </w:instrText>
            </w:r>
            <w:r w:rsidR="00FF09A2">
              <w:rPr>
                <w:rFonts w:ascii="Verdana" w:hAnsi="Verdana"/>
              </w:rPr>
            </w:r>
            <w:r w:rsidR="00FF09A2">
              <w:rPr>
                <w:rFonts w:ascii="Verdana" w:hAnsi="Verdana"/>
              </w:rPr>
              <w:fldChar w:fldCharType="separate"/>
            </w:r>
            <w:r w:rsidRPr="003E47AC">
              <w:rPr>
                <w:rFonts w:ascii="Verdana" w:hAnsi="Verdana"/>
              </w:rPr>
              <w:fldChar w:fldCharType="end"/>
            </w:r>
          </w:p>
        </w:tc>
      </w:tr>
    </w:tbl>
    <w:p w:rsidR="006E0B1F" w:rsidRPr="003C25A8" w:rsidRDefault="006E0B1F" w:rsidP="00774667">
      <w:pPr>
        <w:spacing w:line="360" w:lineRule="auto"/>
        <w:jc w:val="both"/>
        <w:rPr>
          <w:rFonts w:ascii="Verdana" w:hAnsi="Verdana" w:cs="Arial"/>
          <w:b/>
          <w:u w:val="single"/>
        </w:rPr>
      </w:pPr>
    </w:p>
    <w:p w:rsidR="00774667" w:rsidRPr="003C25A8" w:rsidRDefault="00774667" w:rsidP="00774667">
      <w:pPr>
        <w:numPr>
          <w:ilvl w:val="0"/>
          <w:numId w:val="3"/>
        </w:numPr>
        <w:tabs>
          <w:tab w:val="clear" w:pos="1004"/>
          <w:tab w:val="left" w:pos="284"/>
          <w:tab w:val="num" w:pos="567"/>
          <w:tab w:val="left" w:pos="7938"/>
        </w:tabs>
        <w:spacing w:line="360" w:lineRule="auto"/>
        <w:ind w:left="567" w:hanging="283"/>
        <w:rPr>
          <w:rFonts w:ascii="Verdana" w:hAnsi="Verdana" w:cs="Arial"/>
        </w:rPr>
      </w:pPr>
      <w:r>
        <w:rPr>
          <w:rFonts w:ascii="Verdana" w:hAnsi="Verdana"/>
        </w:rPr>
        <w:t>A declaration from the supplier according to Annex 2 is enclosed.</w:t>
      </w:r>
      <w:r>
        <w:rPr>
          <w:rFonts w:ascii="Verdana" w:hAnsi="Verdana"/>
        </w:rPr>
        <w:tab/>
      </w:r>
      <w:r>
        <w:rPr>
          <w:rFonts w:ascii="Verdana" w:hAnsi="Verdana"/>
        </w:rPr>
        <w:tab/>
      </w:r>
      <w:r w:rsidRPr="003C25A8">
        <w:rPr>
          <w:rFonts w:ascii="Verdana" w:hAnsi="Verdana" w:cs="Arial"/>
        </w:rPr>
        <w:fldChar w:fldCharType="begin">
          <w:ffData>
            <w:name w:val="Kontrollkästchen5"/>
            <w:enabled/>
            <w:calcOnExit w:val="0"/>
            <w:checkBox>
              <w:sizeAuto/>
              <w:default w:val="0"/>
            </w:checkBox>
          </w:ffData>
        </w:fldChar>
      </w:r>
      <w:r w:rsidRPr="003C25A8">
        <w:rPr>
          <w:rFonts w:ascii="Verdana" w:hAnsi="Verdana" w:cs="Arial"/>
        </w:rPr>
        <w:instrText xml:space="preserve"> FORMCHECKBOX </w:instrText>
      </w:r>
      <w:r w:rsidR="00FF09A2">
        <w:rPr>
          <w:rFonts w:ascii="Verdana" w:hAnsi="Verdana" w:cs="Arial"/>
        </w:rPr>
      </w:r>
      <w:r w:rsidR="00FF09A2">
        <w:rPr>
          <w:rFonts w:ascii="Verdana" w:hAnsi="Verdana" w:cs="Arial"/>
        </w:rPr>
        <w:fldChar w:fldCharType="separate"/>
      </w:r>
      <w:r w:rsidRPr="003C25A8">
        <w:rPr>
          <w:rFonts w:ascii="Verdana" w:hAnsi="Verdana" w:cs="Arial"/>
        </w:rPr>
        <w:fldChar w:fldCharType="end"/>
      </w:r>
    </w:p>
    <w:p w:rsidR="00FF4834" w:rsidRPr="00FF4834" w:rsidRDefault="00774667" w:rsidP="00774667">
      <w:pPr>
        <w:numPr>
          <w:ilvl w:val="0"/>
          <w:numId w:val="3"/>
        </w:numPr>
        <w:tabs>
          <w:tab w:val="clear" w:pos="1004"/>
          <w:tab w:val="left" w:pos="284"/>
          <w:tab w:val="num" w:pos="567"/>
          <w:tab w:val="left" w:pos="7938"/>
        </w:tabs>
        <w:spacing w:line="360" w:lineRule="auto"/>
        <w:ind w:left="567" w:hanging="283"/>
        <w:rPr>
          <w:rFonts w:ascii="Verdana" w:hAnsi="Verdana" w:cs="Arial"/>
        </w:rPr>
      </w:pPr>
      <w:r>
        <w:rPr>
          <w:rFonts w:ascii="Verdana" w:hAnsi="Verdana"/>
        </w:rPr>
        <w:t>A list of the primary products used (raw materials) according to</w:t>
      </w:r>
    </w:p>
    <w:p w:rsidR="00774667" w:rsidRPr="003C25A8" w:rsidRDefault="00774667" w:rsidP="00FF4834">
      <w:pPr>
        <w:tabs>
          <w:tab w:val="left" w:pos="284"/>
          <w:tab w:val="left" w:pos="7938"/>
        </w:tabs>
        <w:spacing w:line="360" w:lineRule="auto"/>
        <w:ind w:left="567"/>
        <w:rPr>
          <w:rFonts w:ascii="Verdana" w:hAnsi="Verdana" w:cs="Arial"/>
        </w:rPr>
      </w:pPr>
      <w:r>
        <w:rPr>
          <w:rFonts w:ascii="Verdana" w:hAnsi="Verdana"/>
        </w:rPr>
        <w:t xml:space="preserve"> Annex 3 is enclosed.</w:t>
      </w:r>
      <w:r>
        <w:rPr>
          <w:rFonts w:ascii="Verdana" w:hAnsi="Verdana"/>
        </w:rPr>
        <w:tab/>
      </w:r>
      <w:r w:rsidR="00FF4834">
        <w:rPr>
          <w:rFonts w:ascii="Verdana" w:hAnsi="Verdana"/>
        </w:rPr>
        <w:tab/>
      </w:r>
      <w:r w:rsidRPr="003C25A8">
        <w:rPr>
          <w:rFonts w:ascii="Verdana" w:hAnsi="Verdana" w:cs="Arial"/>
        </w:rPr>
        <w:fldChar w:fldCharType="begin">
          <w:ffData>
            <w:name w:val="Kontrollkästchen5"/>
            <w:enabled/>
            <w:calcOnExit w:val="0"/>
            <w:checkBox>
              <w:sizeAuto/>
              <w:default w:val="0"/>
            </w:checkBox>
          </w:ffData>
        </w:fldChar>
      </w:r>
      <w:r w:rsidRPr="003C25A8">
        <w:rPr>
          <w:rFonts w:ascii="Verdana" w:hAnsi="Verdana" w:cs="Arial"/>
        </w:rPr>
        <w:instrText xml:space="preserve"> FORMCHECKBOX </w:instrText>
      </w:r>
      <w:r w:rsidR="00FF09A2">
        <w:rPr>
          <w:rFonts w:ascii="Verdana" w:hAnsi="Verdana" w:cs="Arial"/>
        </w:rPr>
      </w:r>
      <w:r w:rsidR="00FF09A2">
        <w:rPr>
          <w:rFonts w:ascii="Verdana" w:hAnsi="Verdana" w:cs="Arial"/>
        </w:rPr>
        <w:fldChar w:fldCharType="separate"/>
      </w:r>
      <w:r w:rsidRPr="003C25A8">
        <w:rPr>
          <w:rFonts w:ascii="Verdana" w:hAnsi="Verdana" w:cs="Arial"/>
        </w:rPr>
        <w:fldChar w:fldCharType="end"/>
      </w:r>
    </w:p>
    <w:p w:rsidR="00774667" w:rsidRPr="003C25A8" w:rsidRDefault="00774667" w:rsidP="00774667">
      <w:pPr>
        <w:numPr>
          <w:ilvl w:val="0"/>
          <w:numId w:val="3"/>
        </w:numPr>
        <w:tabs>
          <w:tab w:val="clear" w:pos="1004"/>
          <w:tab w:val="left" w:pos="284"/>
          <w:tab w:val="num" w:pos="567"/>
          <w:tab w:val="left" w:pos="7938"/>
        </w:tabs>
        <w:spacing w:line="360" w:lineRule="auto"/>
        <w:ind w:left="567" w:hanging="283"/>
        <w:rPr>
          <w:rFonts w:ascii="Verdana" w:hAnsi="Verdana" w:cs="Arial"/>
        </w:rPr>
      </w:pPr>
      <w:r>
        <w:rPr>
          <w:rFonts w:ascii="Verdana" w:hAnsi="Verdana"/>
        </w:rPr>
        <w:t>Safety data sheets for the products (raw materials) are enclosed (Annex 4).</w:t>
      </w:r>
      <w:r>
        <w:rPr>
          <w:rFonts w:ascii="Verdana" w:hAnsi="Verdana"/>
        </w:rPr>
        <w:tab/>
      </w:r>
      <w:r w:rsidRPr="003C25A8">
        <w:rPr>
          <w:rFonts w:ascii="Verdana" w:hAnsi="Verdana" w:cs="Arial"/>
        </w:rPr>
        <w:fldChar w:fldCharType="begin">
          <w:ffData>
            <w:name w:val="Kontrollkästchen5"/>
            <w:enabled/>
            <w:calcOnExit w:val="0"/>
            <w:checkBox>
              <w:sizeAuto/>
              <w:default w:val="0"/>
            </w:checkBox>
          </w:ffData>
        </w:fldChar>
      </w:r>
      <w:r w:rsidRPr="003C25A8">
        <w:rPr>
          <w:rFonts w:ascii="Verdana" w:hAnsi="Verdana" w:cs="Arial"/>
        </w:rPr>
        <w:instrText xml:space="preserve"> FORMCHECKBOX </w:instrText>
      </w:r>
      <w:r w:rsidR="00FF09A2">
        <w:rPr>
          <w:rFonts w:ascii="Verdana" w:hAnsi="Verdana" w:cs="Arial"/>
        </w:rPr>
      </w:r>
      <w:r w:rsidR="00FF09A2">
        <w:rPr>
          <w:rFonts w:ascii="Verdana" w:hAnsi="Verdana" w:cs="Arial"/>
        </w:rPr>
        <w:fldChar w:fldCharType="separate"/>
      </w:r>
      <w:r w:rsidRPr="003C25A8">
        <w:rPr>
          <w:rFonts w:ascii="Verdana" w:hAnsi="Verdana" w:cs="Arial"/>
        </w:rPr>
        <w:fldChar w:fldCharType="end"/>
      </w:r>
    </w:p>
    <w:p w:rsidR="00774667" w:rsidRDefault="00774667" w:rsidP="00774667">
      <w:pPr>
        <w:tabs>
          <w:tab w:val="left" w:pos="284"/>
          <w:tab w:val="left" w:pos="7938"/>
        </w:tabs>
        <w:spacing w:line="360" w:lineRule="auto"/>
        <w:ind w:left="284"/>
        <w:rPr>
          <w:rFonts w:ascii="Verdana" w:hAnsi="Verdana" w:cs="Arial"/>
        </w:rPr>
      </w:pPr>
    </w:p>
    <w:p w:rsidR="006750F1" w:rsidRPr="003C25A8" w:rsidRDefault="006750F1" w:rsidP="006750F1">
      <w:pPr>
        <w:spacing w:line="360" w:lineRule="auto"/>
        <w:jc w:val="both"/>
        <w:rPr>
          <w:rFonts w:ascii="Verdana" w:hAnsi="Verdana" w:cs="Arial"/>
          <w:b/>
          <w:u w:val="single"/>
        </w:rPr>
      </w:pPr>
      <w:r>
        <w:rPr>
          <w:rFonts w:ascii="Verdana" w:hAnsi="Verdana"/>
          <w:b/>
          <w:u w:val="single"/>
        </w:rPr>
        <w:t>3.2 Environmentally hazardous components</w:t>
      </w:r>
    </w:p>
    <w:p w:rsidR="006750F1" w:rsidRDefault="000C77C3" w:rsidP="00774667">
      <w:pPr>
        <w:tabs>
          <w:tab w:val="left" w:pos="284"/>
          <w:tab w:val="left" w:pos="7938"/>
        </w:tabs>
        <w:spacing w:line="360" w:lineRule="auto"/>
        <w:ind w:left="284"/>
        <w:rPr>
          <w:rFonts w:ascii="Verdana" w:hAnsi="Verdana" w:cs="Arial"/>
        </w:rPr>
      </w:pPr>
      <w:r>
        <w:rPr>
          <w:rFonts w:ascii="Verdana" w:hAnsi="Verdana"/>
        </w:rPr>
        <w:t>A calculation of the environmentally hazardous components according to Annex 3 is enclosed.</w:t>
      </w:r>
      <w:r>
        <w:rPr>
          <w:rFonts w:ascii="Verdana" w:hAnsi="Verdana"/>
        </w:rPr>
        <w:tab/>
      </w:r>
      <w:r>
        <w:rPr>
          <w:rFonts w:ascii="Verdana" w:hAnsi="Verdana"/>
        </w:rPr>
        <w:tab/>
      </w:r>
      <w:bookmarkStart w:id="4" w:name="_GoBack"/>
      <w:r w:rsidRPr="003C25A8">
        <w:rPr>
          <w:rFonts w:ascii="Verdana" w:hAnsi="Verdana" w:cs="Arial"/>
        </w:rPr>
        <w:fldChar w:fldCharType="begin">
          <w:ffData>
            <w:name w:val="Kontrollkästchen5"/>
            <w:enabled/>
            <w:calcOnExit w:val="0"/>
            <w:checkBox>
              <w:sizeAuto/>
              <w:default w:val="0"/>
            </w:checkBox>
          </w:ffData>
        </w:fldChar>
      </w:r>
      <w:r w:rsidRPr="003C25A8">
        <w:rPr>
          <w:rFonts w:ascii="Verdana" w:hAnsi="Verdana" w:cs="Arial"/>
        </w:rPr>
        <w:instrText xml:space="preserve"> FORMCHECKBOX </w:instrText>
      </w:r>
      <w:r w:rsidR="00FF09A2">
        <w:rPr>
          <w:rFonts w:ascii="Verdana" w:hAnsi="Verdana" w:cs="Arial"/>
        </w:rPr>
      </w:r>
      <w:r w:rsidR="00FF09A2">
        <w:rPr>
          <w:rFonts w:ascii="Verdana" w:hAnsi="Verdana" w:cs="Arial"/>
        </w:rPr>
        <w:fldChar w:fldCharType="separate"/>
      </w:r>
      <w:r w:rsidRPr="003C25A8">
        <w:rPr>
          <w:rFonts w:ascii="Verdana" w:hAnsi="Verdana" w:cs="Arial"/>
        </w:rPr>
        <w:fldChar w:fldCharType="end"/>
      </w:r>
      <w:bookmarkEnd w:id="4"/>
    </w:p>
    <w:p w:rsidR="001D2D0D" w:rsidRDefault="001D2D0D" w:rsidP="001D2D0D">
      <w:pPr>
        <w:spacing w:line="360" w:lineRule="auto"/>
        <w:jc w:val="both"/>
        <w:rPr>
          <w:rFonts w:ascii="Verdana" w:hAnsi="Verdana" w:cs="Arial"/>
          <w:b/>
          <w:u w:val="single"/>
        </w:rPr>
      </w:pPr>
    </w:p>
    <w:p w:rsidR="001D2D0D" w:rsidRDefault="001D2D0D" w:rsidP="001D2D0D">
      <w:pPr>
        <w:spacing w:line="360" w:lineRule="auto"/>
        <w:jc w:val="both"/>
        <w:rPr>
          <w:rFonts w:ascii="Verdana" w:hAnsi="Verdana" w:cs="Arial"/>
          <w:b/>
          <w:u w:val="single"/>
        </w:rPr>
      </w:pPr>
      <w:r>
        <w:rPr>
          <w:rFonts w:ascii="Verdana" w:hAnsi="Verdana"/>
          <w:b/>
          <w:u w:val="single"/>
        </w:rPr>
        <w:t>3.3 Indoor air quality</w:t>
      </w:r>
    </w:p>
    <w:p w:rsidR="001D2D0D" w:rsidRPr="003C25A8" w:rsidRDefault="001D2D0D" w:rsidP="001D2D0D">
      <w:pPr>
        <w:spacing w:line="360" w:lineRule="auto"/>
        <w:jc w:val="both"/>
        <w:rPr>
          <w:rFonts w:ascii="Verdana" w:hAnsi="Verdana" w:cs="Arial"/>
        </w:rPr>
      </w:pPr>
      <w:r>
        <w:rPr>
          <w:rFonts w:ascii="Verdana" w:hAnsi="Verdana"/>
        </w:rPr>
        <w:t>- A test report from a testing institution recognised for this test by BAM (Bundesanstalt für Materialforschung und Prüfung (Federal Institution for Material Research and Testing) is enclosed.</w:t>
      </w:r>
      <w:r>
        <w:rPr>
          <w:rFonts w:ascii="Verdana" w:hAnsi="Verdana"/>
        </w:rPr>
        <w:tab/>
      </w:r>
      <w:r>
        <w:rPr>
          <w:rFonts w:ascii="Verdana" w:hAnsi="Verdana"/>
        </w:rPr>
        <w:tab/>
      </w:r>
      <w:r>
        <w:rPr>
          <w:rFonts w:ascii="Verdana" w:hAnsi="Verdana"/>
        </w:rPr>
        <w:tab/>
      </w:r>
      <w:r w:rsidR="00FF4834">
        <w:rPr>
          <w:rFonts w:ascii="Verdana" w:hAnsi="Verdana"/>
        </w:rPr>
        <w:tab/>
      </w:r>
      <w:r w:rsidR="00FF4834">
        <w:rPr>
          <w:rFonts w:ascii="Verdana" w:hAnsi="Verdana"/>
        </w:rPr>
        <w:tab/>
      </w:r>
      <w:r w:rsidR="00FF4834">
        <w:rPr>
          <w:rFonts w:ascii="Verdana" w:hAnsi="Verdana"/>
        </w:rPr>
        <w:tab/>
      </w:r>
      <w:r w:rsidR="00FF4834">
        <w:rPr>
          <w:rFonts w:ascii="Verdana" w:hAnsi="Verdana"/>
        </w:rPr>
        <w:tab/>
      </w:r>
      <w:r w:rsidR="00FF4834">
        <w:rPr>
          <w:rFonts w:ascii="Verdana" w:hAnsi="Verdana"/>
        </w:rPr>
        <w:tab/>
      </w:r>
      <w:r w:rsidR="00FF4834">
        <w:rPr>
          <w:rFonts w:ascii="Verdana" w:hAnsi="Verdana"/>
        </w:rPr>
        <w:tab/>
      </w:r>
      <w:r w:rsidR="00FF4834">
        <w:rPr>
          <w:rFonts w:ascii="Verdana" w:hAnsi="Verdana"/>
        </w:rPr>
        <w:tab/>
      </w:r>
      <w:r>
        <w:rPr>
          <w:rFonts w:ascii="Verdana" w:hAnsi="Verdana"/>
        </w:rPr>
        <w:tab/>
      </w:r>
      <w:r w:rsidRPr="003C25A8">
        <w:rPr>
          <w:rFonts w:ascii="Verdana" w:hAnsi="Verdana" w:cs="Arial"/>
        </w:rPr>
        <w:fldChar w:fldCharType="begin">
          <w:ffData>
            <w:name w:val="Kontrollkästchen5"/>
            <w:enabled/>
            <w:calcOnExit w:val="0"/>
            <w:checkBox>
              <w:sizeAuto/>
              <w:default w:val="0"/>
            </w:checkBox>
          </w:ffData>
        </w:fldChar>
      </w:r>
      <w:r w:rsidRPr="003C25A8">
        <w:rPr>
          <w:rFonts w:ascii="Verdana" w:hAnsi="Verdana" w:cs="Arial"/>
        </w:rPr>
        <w:instrText xml:space="preserve"> FORMCHECKBOX </w:instrText>
      </w:r>
      <w:r w:rsidR="00FF09A2">
        <w:rPr>
          <w:rFonts w:ascii="Verdana" w:hAnsi="Verdana" w:cs="Arial"/>
        </w:rPr>
      </w:r>
      <w:r w:rsidR="00FF09A2">
        <w:rPr>
          <w:rFonts w:ascii="Verdana" w:hAnsi="Verdana" w:cs="Arial"/>
        </w:rPr>
        <w:fldChar w:fldCharType="separate"/>
      </w:r>
      <w:r w:rsidRPr="003C25A8">
        <w:rPr>
          <w:rFonts w:ascii="Verdana" w:hAnsi="Verdana" w:cs="Arial"/>
        </w:rPr>
        <w:fldChar w:fldCharType="end"/>
      </w:r>
    </w:p>
    <w:p w:rsidR="003C52D6" w:rsidRDefault="003C52D6" w:rsidP="001D2D0D">
      <w:pPr>
        <w:tabs>
          <w:tab w:val="left" w:pos="284"/>
          <w:tab w:val="left" w:pos="7938"/>
        </w:tabs>
        <w:spacing w:line="360" w:lineRule="auto"/>
        <w:rPr>
          <w:rFonts w:ascii="Verdana" w:hAnsi="Verdana" w:cs="Arial"/>
        </w:rPr>
      </w:pPr>
    </w:p>
    <w:p w:rsidR="001D2D0D" w:rsidRPr="001D2D0D" w:rsidRDefault="001D2D0D" w:rsidP="001D2D0D">
      <w:pPr>
        <w:spacing w:line="360" w:lineRule="auto"/>
        <w:jc w:val="both"/>
        <w:rPr>
          <w:rFonts w:ascii="Verdana" w:hAnsi="Verdana" w:cs="Arial"/>
          <w:b/>
          <w:u w:val="single"/>
        </w:rPr>
      </w:pPr>
      <w:r>
        <w:rPr>
          <w:rFonts w:ascii="Verdana" w:hAnsi="Verdana"/>
          <w:b/>
          <w:u w:val="single"/>
        </w:rPr>
        <w:t>3.4 Odour test (optional)</w:t>
      </w:r>
    </w:p>
    <w:p w:rsidR="001D2D0D" w:rsidRDefault="001D2D0D" w:rsidP="001D2D0D">
      <w:pPr>
        <w:spacing w:line="360" w:lineRule="auto"/>
        <w:jc w:val="both"/>
        <w:rPr>
          <w:rFonts w:ascii="Verdana" w:hAnsi="Verdana" w:cs="Arial"/>
        </w:rPr>
      </w:pPr>
      <w:r>
        <w:rPr>
          <w:rFonts w:ascii="Verdana" w:hAnsi="Verdana"/>
        </w:rPr>
        <w:t>- A test report in accordance with the DIN ISO 16000-2814 standard in combination with VDI 4302 is enclosed</w:t>
      </w:r>
      <w:r>
        <w:rPr>
          <w:rFonts w:ascii="Verdana" w:hAnsi="Verdana"/>
        </w:rPr>
        <w:tab/>
      </w:r>
      <w:r w:rsidR="00FF4834">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sidRPr="003C25A8">
        <w:rPr>
          <w:rFonts w:ascii="Verdana" w:hAnsi="Verdana" w:cs="Arial"/>
        </w:rPr>
        <w:fldChar w:fldCharType="begin">
          <w:ffData>
            <w:name w:val="Kontrollkästchen5"/>
            <w:enabled/>
            <w:calcOnExit w:val="0"/>
            <w:checkBox>
              <w:sizeAuto/>
              <w:default w:val="0"/>
            </w:checkBox>
          </w:ffData>
        </w:fldChar>
      </w:r>
      <w:r w:rsidRPr="003C25A8">
        <w:rPr>
          <w:rFonts w:ascii="Verdana" w:hAnsi="Verdana" w:cs="Arial"/>
        </w:rPr>
        <w:instrText xml:space="preserve"> FORMCHECKBOX </w:instrText>
      </w:r>
      <w:r w:rsidR="00FF09A2">
        <w:rPr>
          <w:rFonts w:ascii="Verdana" w:hAnsi="Verdana" w:cs="Arial"/>
        </w:rPr>
      </w:r>
      <w:r w:rsidR="00FF09A2">
        <w:rPr>
          <w:rFonts w:ascii="Verdana" w:hAnsi="Verdana" w:cs="Arial"/>
        </w:rPr>
        <w:fldChar w:fldCharType="separate"/>
      </w:r>
      <w:r w:rsidRPr="003C25A8">
        <w:rPr>
          <w:rFonts w:ascii="Verdana" w:hAnsi="Verdana" w:cs="Arial"/>
        </w:rPr>
        <w:fldChar w:fldCharType="end"/>
      </w:r>
    </w:p>
    <w:p w:rsidR="001D2D0D" w:rsidRPr="003C25A8" w:rsidRDefault="001D2D0D" w:rsidP="00774667">
      <w:pPr>
        <w:tabs>
          <w:tab w:val="left" w:pos="284"/>
          <w:tab w:val="left" w:pos="7938"/>
        </w:tabs>
        <w:spacing w:line="360" w:lineRule="auto"/>
        <w:ind w:left="284"/>
        <w:rPr>
          <w:rFonts w:ascii="Verdana" w:hAnsi="Verdana" w:cs="Arial"/>
        </w:rPr>
      </w:pPr>
    </w:p>
    <w:p w:rsidR="001D2D0D" w:rsidRDefault="001D2D0D" w:rsidP="00774667">
      <w:pPr>
        <w:spacing w:line="360" w:lineRule="auto"/>
        <w:jc w:val="both"/>
        <w:rPr>
          <w:rFonts w:ascii="Verdana" w:hAnsi="Verdana" w:cs="Arial"/>
          <w:b/>
          <w:u w:val="single"/>
        </w:rPr>
      </w:pPr>
      <w:r>
        <w:rPr>
          <w:rFonts w:ascii="Verdana" w:hAnsi="Verdana"/>
          <w:b/>
          <w:u w:val="single"/>
        </w:rPr>
        <w:t>3.5 Special requirements for specific substances</w:t>
      </w:r>
    </w:p>
    <w:p w:rsidR="001D2D0D" w:rsidRPr="001D2D0D" w:rsidRDefault="001D2D0D" w:rsidP="00774667">
      <w:pPr>
        <w:spacing w:line="360" w:lineRule="auto"/>
        <w:jc w:val="both"/>
        <w:rPr>
          <w:rFonts w:ascii="Verdana" w:hAnsi="Verdana" w:cs="Arial"/>
        </w:rPr>
      </w:pPr>
      <w:r>
        <w:rPr>
          <w:rFonts w:ascii="Verdana" w:hAnsi="Verdana"/>
        </w:rPr>
        <w:t xml:space="preserve">- Declarations from the suppliers according to Paragraphs 3.5.1-3.5.5 (Pigments, Alkylphenol ethoxylates, Plasticisers, Perfluorinated and polyfluorinated chemicals, Organotin compounds) according to Annex 3 are enclosed. </w:t>
      </w:r>
      <w:r>
        <w:rPr>
          <w:rFonts w:ascii="Verdana" w:hAnsi="Verdana"/>
        </w:rPr>
        <w:tab/>
      </w:r>
      <w:r>
        <w:rPr>
          <w:rFonts w:ascii="Verdana" w:hAnsi="Verdana"/>
        </w:rPr>
        <w:tab/>
      </w:r>
      <w:r>
        <w:rPr>
          <w:rFonts w:ascii="Verdana" w:hAnsi="Verdana"/>
        </w:rPr>
        <w:tab/>
      </w:r>
      <w:r>
        <w:rPr>
          <w:rFonts w:ascii="Verdana" w:hAnsi="Verdana"/>
        </w:rPr>
        <w:tab/>
      </w:r>
      <w:r w:rsidRPr="003C25A8">
        <w:rPr>
          <w:rFonts w:ascii="Verdana" w:hAnsi="Verdana" w:cs="Arial"/>
        </w:rPr>
        <w:fldChar w:fldCharType="begin">
          <w:ffData>
            <w:name w:val="Kontrollkästchen5"/>
            <w:enabled/>
            <w:calcOnExit w:val="0"/>
            <w:checkBox>
              <w:sizeAuto/>
              <w:default w:val="0"/>
            </w:checkBox>
          </w:ffData>
        </w:fldChar>
      </w:r>
      <w:r w:rsidRPr="003C25A8">
        <w:rPr>
          <w:rFonts w:ascii="Verdana" w:hAnsi="Verdana" w:cs="Arial"/>
        </w:rPr>
        <w:instrText xml:space="preserve"> FORMCHECKBOX </w:instrText>
      </w:r>
      <w:r w:rsidR="00FF09A2">
        <w:rPr>
          <w:rFonts w:ascii="Verdana" w:hAnsi="Verdana" w:cs="Arial"/>
        </w:rPr>
      </w:r>
      <w:r w:rsidR="00FF09A2">
        <w:rPr>
          <w:rFonts w:ascii="Verdana" w:hAnsi="Verdana" w:cs="Arial"/>
        </w:rPr>
        <w:fldChar w:fldCharType="separate"/>
      </w:r>
      <w:r w:rsidRPr="003C25A8">
        <w:rPr>
          <w:rFonts w:ascii="Verdana" w:hAnsi="Verdana" w:cs="Arial"/>
        </w:rPr>
        <w:fldChar w:fldCharType="end"/>
      </w:r>
    </w:p>
    <w:p w:rsidR="00774667" w:rsidRPr="003C25A8" w:rsidRDefault="00774667" w:rsidP="00CB7389">
      <w:pPr>
        <w:tabs>
          <w:tab w:val="left" w:pos="284"/>
          <w:tab w:val="left" w:pos="7938"/>
        </w:tabs>
        <w:spacing w:line="360" w:lineRule="auto"/>
        <w:ind w:left="567" w:hanging="283"/>
        <w:rPr>
          <w:rFonts w:ascii="Verdana" w:hAnsi="Verdana" w:cs="Arial"/>
        </w:rPr>
      </w:pPr>
    </w:p>
    <w:p w:rsidR="00774667" w:rsidRPr="003C25A8" w:rsidRDefault="00683BBD" w:rsidP="00774667">
      <w:pPr>
        <w:spacing w:line="360" w:lineRule="auto"/>
        <w:jc w:val="both"/>
        <w:rPr>
          <w:rFonts w:ascii="Verdana" w:hAnsi="Verdana" w:cs="Arial"/>
          <w:b/>
          <w:u w:val="single"/>
        </w:rPr>
      </w:pPr>
      <w:r>
        <w:rPr>
          <w:rFonts w:ascii="Verdana" w:hAnsi="Verdana"/>
          <w:b/>
          <w:u w:val="single"/>
        </w:rPr>
        <w:t xml:space="preserve">3.5.6 Additional requirements for sealants designed for contact with food and </w:t>
      </w:r>
    </w:p>
    <w:p w:rsidR="00774667" w:rsidRPr="003C25A8" w:rsidRDefault="00774667" w:rsidP="00774667">
      <w:pPr>
        <w:spacing w:line="360" w:lineRule="auto"/>
        <w:jc w:val="both"/>
        <w:rPr>
          <w:rFonts w:ascii="Verdana" w:hAnsi="Verdana" w:cs="Arial"/>
          <w:b/>
          <w:u w:val="single"/>
        </w:rPr>
      </w:pPr>
      <w:r>
        <w:rPr>
          <w:rFonts w:ascii="Verdana" w:hAnsi="Verdana"/>
          <w:b/>
          <w:u w:val="single"/>
        </w:rPr>
        <w:t xml:space="preserve">drinking water </w:t>
      </w:r>
    </w:p>
    <w:p w:rsidR="00774667" w:rsidRPr="003C25A8" w:rsidRDefault="00774667" w:rsidP="00774667">
      <w:pPr>
        <w:numPr>
          <w:ilvl w:val="0"/>
          <w:numId w:val="3"/>
        </w:numPr>
        <w:tabs>
          <w:tab w:val="clear" w:pos="1004"/>
          <w:tab w:val="left" w:pos="284"/>
          <w:tab w:val="num" w:pos="567"/>
          <w:tab w:val="left" w:pos="7938"/>
        </w:tabs>
        <w:spacing w:line="360" w:lineRule="auto"/>
        <w:ind w:left="567" w:hanging="283"/>
        <w:rPr>
          <w:rFonts w:ascii="Verdana" w:hAnsi="Verdana" w:cs="Arial"/>
        </w:rPr>
      </w:pPr>
      <w:r>
        <w:rPr>
          <w:rFonts w:ascii="Verdana" w:hAnsi="Verdana"/>
        </w:rPr>
        <w:t xml:space="preserve">In the case of sealants designed for contact with food (consumer products in the sense of the German Food and Feed Code (LFGB), a valid test certificate according to the corresponding positive list in recommendation XV from the German Federal Institute for Risk </w:t>
      </w:r>
      <w:proofErr w:type="gramStart"/>
      <w:r>
        <w:rPr>
          <w:rFonts w:ascii="Verdana" w:hAnsi="Verdana"/>
        </w:rPr>
        <w:t>Assessment</w:t>
      </w:r>
      <w:r>
        <w:rPr>
          <w:i/>
          <w:iCs/>
        </w:rPr>
        <w:t xml:space="preserve"> </w:t>
      </w:r>
      <w:r>
        <w:rPr>
          <w:rFonts w:ascii="Verdana" w:hAnsi="Verdana"/>
        </w:rPr>
        <w:t xml:space="preserve"> is</w:t>
      </w:r>
      <w:proofErr w:type="gramEnd"/>
      <w:r>
        <w:rPr>
          <w:rFonts w:ascii="Verdana" w:hAnsi="Verdana"/>
        </w:rPr>
        <w:t xml:space="preserve"> enclosed.</w:t>
      </w:r>
      <w:r>
        <w:rPr>
          <w:rFonts w:ascii="Verdana" w:hAnsi="Verdana"/>
        </w:rPr>
        <w:tab/>
      </w:r>
      <w:r>
        <w:rPr>
          <w:rFonts w:ascii="Verdana" w:hAnsi="Verdana"/>
        </w:rPr>
        <w:tab/>
      </w:r>
      <w:r w:rsidRPr="003C25A8">
        <w:rPr>
          <w:rFonts w:ascii="Verdana" w:hAnsi="Verdana" w:cs="Arial"/>
        </w:rPr>
        <w:fldChar w:fldCharType="begin">
          <w:ffData>
            <w:name w:val="Kontrollkästchen5"/>
            <w:enabled/>
            <w:calcOnExit w:val="0"/>
            <w:checkBox>
              <w:sizeAuto/>
              <w:default w:val="0"/>
            </w:checkBox>
          </w:ffData>
        </w:fldChar>
      </w:r>
      <w:r w:rsidRPr="003C25A8">
        <w:rPr>
          <w:rFonts w:ascii="Verdana" w:hAnsi="Verdana" w:cs="Arial"/>
        </w:rPr>
        <w:instrText xml:space="preserve"> FORMCHECKBOX </w:instrText>
      </w:r>
      <w:r w:rsidR="00FF09A2">
        <w:rPr>
          <w:rFonts w:ascii="Verdana" w:hAnsi="Verdana" w:cs="Arial"/>
        </w:rPr>
      </w:r>
      <w:r w:rsidR="00FF09A2">
        <w:rPr>
          <w:rFonts w:ascii="Verdana" w:hAnsi="Verdana" w:cs="Arial"/>
        </w:rPr>
        <w:fldChar w:fldCharType="separate"/>
      </w:r>
      <w:r w:rsidRPr="003C25A8">
        <w:rPr>
          <w:rFonts w:ascii="Verdana" w:hAnsi="Verdana" w:cs="Arial"/>
        </w:rPr>
        <w:fldChar w:fldCharType="end"/>
      </w:r>
    </w:p>
    <w:p w:rsidR="00774667" w:rsidRPr="003C25A8" w:rsidRDefault="00774667" w:rsidP="00774667">
      <w:pPr>
        <w:numPr>
          <w:ilvl w:val="0"/>
          <w:numId w:val="3"/>
        </w:numPr>
        <w:tabs>
          <w:tab w:val="clear" w:pos="1004"/>
          <w:tab w:val="left" w:pos="284"/>
          <w:tab w:val="num" w:pos="567"/>
          <w:tab w:val="left" w:pos="7938"/>
        </w:tabs>
        <w:spacing w:line="360" w:lineRule="auto"/>
        <w:ind w:left="567" w:hanging="283"/>
        <w:rPr>
          <w:rFonts w:ascii="Verdana" w:hAnsi="Verdana" w:cs="Arial"/>
        </w:rPr>
      </w:pPr>
      <w:r>
        <w:rPr>
          <w:rFonts w:ascii="Verdana" w:hAnsi="Verdana"/>
        </w:rPr>
        <w:lastRenderedPageBreak/>
        <w:t>In the case of sealants designed for contact with drinking water, a current test certificate according to the KTW Guideline and DIN EN 16421 Method 1 or 2 (microbiological) is enclosed.</w:t>
      </w:r>
      <w:r>
        <w:rPr>
          <w:rFonts w:ascii="Verdana" w:hAnsi="Verdana"/>
        </w:rPr>
        <w:tab/>
      </w:r>
      <w:r>
        <w:rPr>
          <w:rFonts w:ascii="Verdana" w:hAnsi="Verdana"/>
        </w:rPr>
        <w:tab/>
      </w:r>
      <w:r w:rsidRPr="003C25A8">
        <w:rPr>
          <w:rFonts w:ascii="Verdana" w:hAnsi="Verdana" w:cs="Arial"/>
        </w:rPr>
        <w:fldChar w:fldCharType="begin">
          <w:ffData>
            <w:name w:val="Kontrollkästchen5"/>
            <w:enabled/>
            <w:calcOnExit w:val="0"/>
            <w:checkBox>
              <w:sizeAuto/>
              <w:default w:val="0"/>
            </w:checkBox>
          </w:ffData>
        </w:fldChar>
      </w:r>
      <w:r w:rsidRPr="003C25A8">
        <w:rPr>
          <w:rFonts w:ascii="Verdana" w:hAnsi="Verdana" w:cs="Arial"/>
        </w:rPr>
        <w:instrText xml:space="preserve"> FORMCHECKBOX </w:instrText>
      </w:r>
      <w:r w:rsidR="00FF09A2">
        <w:rPr>
          <w:rFonts w:ascii="Verdana" w:hAnsi="Verdana" w:cs="Arial"/>
        </w:rPr>
      </w:r>
      <w:r w:rsidR="00FF09A2">
        <w:rPr>
          <w:rFonts w:ascii="Verdana" w:hAnsi="Verdana" w:cs="Arial"/>
        </w:rPr>
        <w:fldChar w:fldCharType="separate"/>
      </w:r>
      <w:r w:rsidRPr="003C25A8">
        <w:rPr>
          <w:rFonts w:ascii="Verdana" w:hAnsi="Verdana" w:cs="Arial"/>
        </w:rPr>
        <w:fldChar w:fldCharType="end"/>
      </w:r>
    </w:p>
    <w:p w:rsidR="00774667" w:rsidRPr="003C25A8" w:rsidRDefault="00774667" w:rsidP="00774667">
      <w:pPr>
        <w:tabs>
          <w:tab w:val="left" w:pos="284"/>
          <w:tab w:val="left" w:pos="567"/>
          <w:tab w:val="left" w:pos="7938"/>
        </w:tabs>
        <w:spacing w:line="360" w:lineRule="auto"/>
        <w:ind w:left="284"/>
        <w:jc w:val="both"/>
        <w:rPr>
          <w:rFonts w:ascii="Verdana" w:hAnsi="Verdana" w:cs="Arial"/>
        </w:rPr>
      </w:pPr>
    </w:p>
    <w:p w:rsidR="00683BBD" w:rsidRPr="003C25A8" w:rsidRDefault="00683BBD" w:rsidP="009D14C6">
      <w:pPr>
        <w:overflowPunct/>
        <w:autoSpaceDE/>
        <w:autoSpaceDN/>
        <w:adjustRightInd/>
        <w:textAlignment w:val="auto"/>
        <w:rPr>
          <w:rFonts w:ascii="Verdana" w:hAnsi="Verdana" w:cs="Arial"/>
          <w:b/>
          <w:u w:val="single"/>
        </w:rPr>
      </w:pPr>
      <w:r>
        <w:rPr>
          <w:rFonts w:ascii="Verdana" w:hAnsi="Verdana"/>
          <w:b/>
          <w:u w:val="single"/>
        </w:rPr>
        <w:t>3.5.7 Preservation</w:t>
      </w:r>
    </w:p>
    <w:p w:rsidR="009D14C6" w:rsidRDefault="00683BBD" w:rsidP="009D14C6">
      <w:pPr>
        <w:tabs>
          <w:tab w:val="left" w:pos="284"/>
          <w:tab w:val="left" w:pos="7938"/>
          <w:tab w:val="left" w:pos="8505"/>
        </w:tabs>
        <w:spacing w:line="360" w:lineRule="auto"/>
        <w:ind w:left="284"/>
        <w:rPr>
          <w:rFonts w:ascii="Verdana" w:hAnsi="Verdana"/>
        </w:rPr>
      </w:pPr>
      <w:r>
        <w:rPr>
          <w:rFonts w:ascii="Verdana" w:hAnsi="Verdana"/>
        </w:rPr>
        <w:t>The sealants do not contain any biocides. Exempted are the micro-biocides used as in-can preservatives that are stated on the “List of approved in-can preservatives” (enclosed with the application documentation) at the concentrations stated there, as well as the biocides used to protect sanitary sealants against mould that are listed in Appendix A of the Basic Award Criteria DE-UZ 123 at the</w:t>
      </w:r>
    </w:p>
    <w:p w:rsidR="00683BBD" w:rsidRDefault="00683BBD" w:rsidP="00683BBD">
      <w:pPr>
        <w:tabs>
          <w:tab w:val="left" w:pos="284"/>
          <w:tab w:val="left" w:pos="7938"/>
        </w:tabs>
        <w:spacing w:line="360" w:lineRule="auto"/>
        <w:ind w:left="284"/>
        <w:rPr>
          <w:rFonts w:ascii="Verdana" w:hAnsi="Verdana" w:cs="Arial"/>
        </w:rPr>
      </w:pPr>
      <w:r>
        <w:rPr>
          <w:rFonts w:ascii="Verdana" w:hAnsi="Verdana"/>
        </w:rPr>
        <w:t xml:space="preserve">concentrations stated there. </w:t>
      </w:r>
      <w:r>
        <w:rPr>
          <w:rFonts w:ascii="Verdana" w:hAnsi="Verdana"/>
        </w:rPr>
        <w:tab/>
      </w:r>
      <w:r>
        <w:rPr>
          <w:rFonts w:ascii="Verdana" w:hAnsi="Verdana"/>
        </w:rPr>
        <w:tab/>
      </w:r>
      <w:r w:rsidRPr="003C25A8">
        <w:rPr>
          <w:rFonts w:ascii="Verdana" w:hAnsi="Verdana" w:cs="Arial"/>
        </w:rPr>
        <w:fldChar w:fldCharType="begin">
          <w:ffData>
            <w:name w:val="Kontrollkästchen89"/>
            <w:enabled/>
            <w:calcOnExit w:val="0"/>
            <w:checkBox>
              <w:sizeAuto/>
              <w:default w:val="0"/>
            </w:checkBox>
          </w:ffData>
        </w:fldChar>
      </w:r>
      <w:bookmarkStart w:id="5" w:name="Kontrollkästchen89"/>
      <w:r w:rsidRPr="003C25A8">
        <w:rPr>
          <w:rFonts w:ascii="Verdana" w:hAnsi="Verdana" w:cs="Arial"/>
        </w:rPr>
        <w:instrText xml:space="preserve"> FORMCHECKBOX </w:instrText>
      </w:r>
      <w:r w:rsidR="00FF09A2">
        <w:rPr>
          <w:rFonts w:ascii="Verdana" w:hAnsi="Verdana" w:cs="Arial"/>
        </w:rPr>
      </w:r>
      <w:r w:rsidR="00FF09A2">
        <w:rPr>
          <w:rFonts w:ascii="Verdana" w:hAnsi="Verdana" w:cs="Arial"/>
        </w:rPr>
        <w:fldChar w:fldCharType="separate"/>
      </w:r>
      <w:r w:rsidRPr="003C25A8">
        <w:rPr>
          <w:rFonts w:ascii="Verdana" w:hAnsi="Verdana" w:cs="Arial"/>
        </w:rPr>
        <w:fldChar w:fldCharType="end"/>
      </w:r>
      <w:bookmarkEnd w:id="5"/>
    </w:p>
    <w:p w:rsidR="00683BBD" w:rsidRDefault="00683BBD" w:rsidP="00683BBD">
      <w:pPr>
        <w:tabs>
          <w:tab w:val="left" w:pos="426"/>
          <w:tab w:val="left" w:pos="1134"/>
          <w:tab w:val="left" w:pos="7938"/>
        </w:tabs>
        <w:spacing w:line="360" w:lineRule="auto"/>
        <w:rPr>
          <w:rFonts w:ascii="Verdana" w:hAnsi="Verdana" w:cs="Arial"/>
          <w:b/>
          <w:u w:val="single"/>
        </w:rPr>
      </w:pPr>
    </w:p>
    <w:p w:rsidR="00683BBD" w:rsidRPr="003C25A8" w:rsidRDefault="00683BBD" w:rsidP="00683BBD">
      <w:pPr>
        <w:tabs>
          <w:tab w:val="left" w:pos="426"/>
          <w:tab w:val="left" w:pos="1134"/>
          <w:tab w:val="left" w:pos="7938"/>
        </w:tabs>
        <w:spacing w:line="360" w:lineRule="auto"/>
        <w:rPr>
          <w:rFonts w:ascii="Verdana" w:hAnsi="Verdana" w:cs="Arial"/>
          <w:b/>
          <w:u w:val="single"/>
        </w:rPr>
      </w:pPr>
      <w:r>
        <w:rPr>
          <w:rFonts w:ascii="Verdana" w:hAnsi="Verdana"/>
          <w:b/>
          <w:u w:val="single"/>
        </w:rPr>
        <w:t>3.6 Recycling and disposal</w:t>
      </w:r>
    </w:p>
    <w:p w:rsidR="00683BBD" w:rsidRPr="003C25A8" w:rsidRDefault="00683BBD" w:rsidP="00683BBD">
      <w:pPr>
        <w:numPr>
          <w:ilvl w:val="0"/>
          <w:numId w:val="1"/>
        </w:numPr>
        <w:tabs>
          <w:tab w:val="clear" w:pos="720"/>
          <w:tab w:val="left" w:pos="426"/>
          <w:tab w:val="num" w:pos="567"/>
          <w:tab w:val="left" w:pos="1134"/>
          <w:tab w:val="left" w:pos="7938"/>
        </w:tabs>
        <w:spacing w:line="360" w:lineRule="auto"/>
        <w:rPr>
          <w:rFonts w:ascii="Verdana" w:hAnsi="Verdana" w:cs="Arial"/>
        </w:rPr>
      </w:pPr>
      <w:r>
        <w:rPr>
          <w:rFonts w:ascii="Verdana" w:hAnsi="Verdana"/>
        </w:rPr>
        <w:t>With regards to recycling and disposal,</w:t>
      </w:r>
    </w:p>
    <w:p w:rsidR="00683BBD" w:rsidRPr="003C25A8" w:rsidRDefault="00683BBD" w:rsidP="00683BBD">
      <w:pPr>
        <w:tabs>
          <w:tab w:val="left" w:pos="426"/>
          <w:tab w:val="num" w:pos="567"/>
          <w:tab w:val="left" w:pos="1134"/>
          <w:tab w:val="left" w:pos="7938"/>
        </w:tabs>
        <w:spacing w:line="360" w:lineRule="auto"/>
        <w:ind w:left="360"/>
        <w:rPr>
          <w:rFonts w:ascii="Verdana" w:hAnsi="Verdana" w:cs="Arial"/>
        </w:rPr>
      </w:pPr>
      <w:r>
        <w:rPr>
          <w:rFonts w:ascii="Verdana" w:hAnsi="Verdana"/>
        </w:rPr>
        <w:t xml:space="preserve">   no material protection agents (fungicides, insecticides, flame-retardants) </w:t>
      </w:r>
    </w:p>
    <w:p w:rsidR="00683BBD" w:rsidRPr="003C25A8" w:rsidRDefault="00683BBD" w:rsidP="00173C6D">
      <w:pPr>
        <w:tabs>
          <w:tab w:val="left" w:pos="426"/>
          <w:tab w:val="num" w:pos="567"/>
          <w:tab w:val="left" w:pos="1134"/>
          <w:tab w:val="left" w:pos="7938"/>
          <w:tab w:val="left" w:pos="8505"/>
        </w:tabs>
        <w:spacing w:line="360" w:lineRule="auto"/>
        <w:ind w:left="360"/>
        <w:rPr>
          <w:rFonts w:ascii="Verdana" w:hAnsi="Verdana" w:cs="Arial"/>
        </w:rPr>
      </w:pPr>
      <w:r>
        <w:rPr>
          <w:rFonts w:ascii="Verdana" w:hAnsi="Verdana"/>
        </w:rPr>
        <w:t xml:space="preserve">   and no halogenated organic compounds have been added to the sealants. Exempted are substances according to Paragraph 3.5.7 which are used for in-can preservation to protect against attack microbial infestation, as well as flame retardants using inorganic ammonium phosphates (diammonium phosphate, ammonium polyphosphate etc.), other water-releasing minerals (aluminium trihydrate or similar) or expandable graphite for flame retarding purposes.</w:t>
      </w:r>
      <w:r>
        <w:rPr>
          <w:rFonts w:ascii="Verdana" w:hAnsi="Verdana"/>
        </w:rPr>
        <w:tab/>
      </w:r>
      <w:r>
        <w:rPr>
          <w:rFonts w:ascii="Verdana" w:hAnsi="Verdana"/>
        </w:rPr>
        <w:tab/>
      </w:r>
      <w:r w:rsidRPr="003C25A8">
        <w:rPr>
          <w:rFonts w:ascii="Verdana" w:hAnsi="Verdana" w:cs="Arial"/>
        </w:rPr>
        <w:fldChar w:fldCharType="begin">
          <w:ffData>
            <w:name w:val="Kontrollkästchen66"/>
            <w:enabled/>
            <w:calcOnExit w:val="0"/>
            <w:checkBox>
              <w:sizeAuto/>
              <w:default w:val="0"/>
            </w:checkBox>
          </w:ffData>
        </w:fldChar>
      </w:r>
      <w:r w:rsidRPr="003C25A8">
        <w:rPr>
          <w:rFonts w:ascii="Verdana" w:hAnsi="Verdana" w:cs="Arial"/>
        </w:rPr>
        <w:instrText xml:space="preserve"> FORMCHECKBOX </w:instrText>
      </w:r>
      <w:r w:rsidR="00FF09A2">
        <w:rPr>
          <w:rFonts w:ascii="Verdana" w:hAnsi="Verdana" w:cs="Arial"/>
        </w:rPr>
      </w:r>
      <w:r w:rsidR="00FF09A2">
        <w:rPr>
          <w:rFonts w:ascii="Verdana" w:hAnsi="Verdana" w:cs="Arial"/>
        </w:rPr>
        <w:fldChar w:fldCharType="separate"/>
      </w:r>
      <w:r w:rsidRPr="003C25A8">
        <w:rPr>
          <w:rFonts w:ascii="Verdana" w:hAnsi="Verdana" w:cs="Arial"/>
        </w:rPr>
        <w:fldChar w:fldCharType="end"/>
      </w:r>
    </w:p>
    <w:p w:rsidR="00683BBD" w:rsidRDefault="00683BBD" w:rsidP="00683BBD">
      <w:pPr>
        <w:tabs>
          <w:tab w:val="left" w:pos="284"/>
          <w:tab w:val="left" w:pos="7938"/>
        </w:tabs>
        <w:spacing w:line="360" w:lineRule="auto"/>
        <w:ind w:left="284"/>
        <w:rPr>
          <w:rFonts w:ascii="Verdana" w:hAnsi="Verdana" w:cs="Arial"/>
        </w:rPr>
      </w:pPr>
    </w:p>
    <w:p w:rsidR="00774667" w:rsidRPr="003C25A8" w:rsidRDefault="00683BBD" w:rsidP="00774667">
      <w:pPr>
        <w:spacing w:line="360" w:lineRule="auto"/>
        <w:jc w:val="both"/>
        <w:rPr>
          <w:rFonts w:ascii="Verdana" w:hAnsi="Verdana" w:cs="Arial"/>
          <w:b/>
          <w:u w:val="single"/>
        </w:rPr>
      </w:pPr>
      <w:r>
        <w:rPr>
          <w:rFonts w:ascii="Verdana" w:hAnsi="Verdana"/>
          <w:b/>
          <w:u w:val="single"/>
        </w:rPr>
        <w:t>3.7 Fitness for use</w:t>
      </w:r>
    </w:p>
    <w:p w:rsidR="00774667" w:rsidRPr="003C25A8" w:rsidRDefault="00774667" w:rsidP="00774667">
      <w:pPr>
        <w:numPr>
          <w:ilvl w:val="0"/>
          <w:numId w:val="3"/>
        </w:numPr>
        <w:tabs>
          <w:tab w:val="clear" w:pos="1004"/>
          <w:tab w:val="left" w:pos="284"/>
          <w:tab w:val="num" w:pos="567"/>
          <w:tab w:val="left" w:pos="7938"/>
        </w:tabs>
        <w:spacing w:line="360" w:lineRule="auto"/>
        <w:ind w:left="567" w:hanging="283"/>
        <w:rPr>
          <w:rFonts w:ascii="Verdana" w:hAnsi="Verdana" w:cs="Arial"/>
        </w:rPr>
      </w:pPr>
      <w:r>
        <w:rPr>
          <w:rFonts w:ascii="Verdana" w:hAnsi="Verdana"/>
        </w:rPr>
        <w:t>The sealants according to Paragraph 2 fulfil the usual quality requirements</w:t>
      </w:r>
    </w:p>
    <w:p w:rsidR="00774667" w:rsidRPr="003C25A8" w:rsidRDefault="00774667" w:rsidP="00774667">
      <w:pPr>
        <w:tabs>
          <w:tab w:val="left" w:pos="284"/>
          <w:tab w:val="left" w:pos="7938"/>
        </w:tabs>
        <w:spacing w:line="360" w:lineRule="auto"/>
        <w:ind w:left="284"/>
        <w:rPr>
          <w:rFonts w:ascii="Verdana" w:hAnsi="Verdana" w:cs="Arial"/>
        </w:rPr>
      </w:pPr>
      <w:r>
        <w:rPr>
          <w:rFonts w:ascii="Verdana" w:hAnsi="Verdana"/>
        </w:rPr>
        <w:t xml:space="preserve">     with respect to fitness for use for the respective product group.</w:t>
      </w:r>
      <w:r>
        <w:rPr>
          <w:rFonts w:ascii="Verdana" w:hAnsi="Verdana"/>
        </w:rPr>
        <w:tab/>
      </w:r>
      <w:r w:rsidR="009D14C6">
        <w:rPr>
          <w:rFonts w:ascii="Verdana" w:hAnsi="Verdana"/>
        </w:rPr>
        <w:tab/>
      </w:r>
      <w:r w:rsidRPr="003C25A8">
        <w:rPr>
          <w:rFonts w:ascii="Verdana" w:hAnsi="Verdana" w:cs="Arial"/>
        </w:rPr>
        <w:fldChar w:fldCharType="begin">
          <w:ffData>
            <w:name w:val="Kontrollkästchen5"/>
            <w:enabled/>
            <w:calcOnExit w:val="0"/>
            <w:checkBox>
              <w:sizeAuto/>
              <w:default w:val="0"/>
            </w:checkBox>
          </w:ffData>
        </w:fldChar>
      </w:r>
      <w:r w:rsidRPr="003C25A8">
        <w:rPr>
          <w:rFonts w:ascii="Verdana" w:hAnsi="Verdana" w:cs="Arial"/>
        </w:rPr>
        <w:instrText xml:space="preserve"> FORMCHECKBOX </w:instrText>
      </w:r>
      <w:r w:rsidR="00FF09A2">
        <w:rPr>
          <w:rFonts w:ascii="Verdana" w:hAnsi="Verdana" w:cs="Arial"/>
        </w:rPr>
      </w:r>
      <w:r w:rsidR="00FF09A2">
        <w:rPr>
          <w:rFonts w:ascii="Verdana" w:hAnsi="Verdana" w:cs="Arial"/>
        </w:rPr>
        <w:fldChar w:fldCharType="separate"/>
      </w:r>
      <w:r w:rsidRPr="003C25A8">
        <w:rPr>
          <w:rFonts w:ascii="Verdana" w:hAnsi="Verdana" w:cs="Arial"/>
        </w:rPr>
        <w:fldChar w:fldCharType="end"/>
      </w:r>
    </w:p>
    <w:p w:rsidR="00774667" w:rsidRPr="003C25A8" w:rsidRDefault="00774667" w:rsidP="00CB7389">
      <w:pPr>
        <w:tabs>
          <w:tab w:val="left" w:pos="426"/>
          <w:tab w:val="left" w:pos="1134"/>
          <w:tab w:val="left" w:pos="7938"/>
        </w:tabs>
        <w:spacing w:line="360" w:lineRule="auto"/>
        <w:ind w:left="360"/>
        <w:rPr>
          <w:rFonts w:ascii="Verdana" w:hAnsi="Verdana" w:cs="Arial"/>
        </w:rPr>
      </w:pPr>
    </w:p>
    <w:p w:rsidR="00E75CEB" w:rsidRDefault="00E75CEB" w:rsidP="00774667">
      <w:pPr>
        <w:numPr>
          <w:ilvl w:val="12"/>
          <w:numId w:val="0"/>
        </w:numPr>
        <w:spacing w:line="360" w:lineRule="auto"/>
        <w:jc w:val="both"/>
        <w:rPr>
          <w:rFonts w:ascii="Verdana" w:hAnsi="Verdana" w:cs="Arial"/>
          <w:b/>
          <w:u w:val="single"/>
        </w:rPr>
      </w:pPr>
      <w:r>
        <w:rPr>
          <w:rFonts w:ascii="Verdana" w:hAnsi="Verdana"/>
          <w:b/>
          <w:u w:val="single"/>
        </w:rPr>
        <w:t>3.8 Advertising claims</w:t>
      </w:r>
    </w:p>
    <w:p w:rsidR="00E75CEB" w:rsidRPr="00E75CEB" w:rsidRDefault="00E75CEB" w:rsidP="00E75CEB">
      <w:pPr>
        <w:tabs>
          <w:tab w:val="left" w:pos="284"/>
          <w:tab w:val="left" w:pos="7938"/>
        </w:tabs>
        <w:spacing w:line="360" w:lineRule="auto"/>
        <w:ind w:left="284"/>
        <w:rPr>
          <w:rFonts w:ascii="Verdana" w:hAnsi="Verdana" w:cs="Arial"/>
        </w:rPr>
      </w:pPr>
      <w:r>
        <w:rPr>
          <w:rFonts w:ascii="Verdana" w:hAnsi="Verdana"/>
        </w:rPr>
        <w:t xml:space="preserve">- The type of sealant according to Paragraph 2 is stated on the container together with the product designation. </w:t>
      </w:r>
      <w:r>
        <w:rPr>
          <w:rFonts w:ascii="Verdana" w:hAnsi="Verdana"/>
        </w:rPr>
        <w:tab/>
      </w:r>
      <w:r>
        <w:rPr>
          <w:rFonts w:ascii="Verdana" w:hAnsi="Verdana"/>
        </w:rPr>
        <w:tab/>
      </w:r>
      <w:r w:rsidRPr="003C25A8">
        <w:rPr>
          <w:rFonts w:ascii="Verdana" w:hAnsi="Verdana" w:cs="Arial"/>
        </w:rPr>
        <w:fldChar w:fldCharType="begin">
          <w:ffData>
            <w:name w:val="Kontrollkästchen5"/>
            <w:enabled/>
            <w:calcOnExit w:val="0"/>
            <w:checkBox>
              <w:sizeAuto/>
              <w:default w:val="0"/>
            </w:checkBox>
          </w:ffData>
        </w:fldChar>
      </w:r>
      <w:r w:rsidRPr="003C25A8">
        <w:rPr>
          <w:rFonts w:ascii="Verdana" w:hAnsi="Verdana" w:cs="Arial"/>
        </w:rPr>
        <w:instrText xml:space="preserve"> FORMCHECKBOX </w:instrText>
      </w:r>
      <w:r w:rsidR="00FF09A2">
        <w:rPr>
          <w:rFonts w:ascii="Verdana" w:hAnsi="Verdana" w:cs="Arial"/>
        </w:rPr>
      </w:r>
      <w:r w:rsidR="00FF09A2">
        <w:rPr>
          <w:rFonts w:ascii="Verdana" w:hAnsi="Verdana" w:cs="Arial"/>
        </w:rPr>
        <w:fldChar w:fldCharType="separate"/>
      </w:r>
      <w:r w:rsidRPr="003C25A8">
        <w:rPr>
          <w:rFonts w:ascii="Verdana" w:hAnsi="Verdana" w:cs="Arial"/>
        </w:rPr>
        <w:fldChar w:fldCharType="end"/>
      </w:r>
    </w:p>
    <w:p w:rsidR="00E75CEB" w:rsidRPr="00E75CEB" w:rsidRDefault="00E75CEB" w:rsidP="00E75CEB">
      <w:pPr>
        <w:tabs>
          <w:tab w:val="left" w:pos="284"/>
          <w:tab w:val="left" w:pos="7938"/>
        </w:tabs>
        <w:spacing w:line="360" w:lineRule="auto"/>
        <w:ind w:left="284"/>
        <w:rPr>
          <w:rFonts w:ascii="Verdana" w:hAnsi="Verdana" w:cs="Arial"/>
        </w:rPr>
      </w:pPr>
      <w:r>
        <w:rPr>
          <w:rFonts w:ascii="Verdana" w:hAnsi="Verdana"/>
        </w:rPr>
        <w:t>- Advertising claims do not include claims in the sense of Article 25 (4) of the CLP Regulation (EC) No. 1272/2008 that could play down the risks such as e.g. “non-toxic”, “non-harmful to health” or similar claims.</w:t>
      </w:r>
      <w:r>
        <w:rPr>
          <w:rFonts w:ascii="Verdana" w:hAnsi="Verdana"/>
        </w:rPr>
        <w:tab/>
      </w:r>
      <w:r>
        <w:rPr>
          <w:rFonts w:ascii="Verdana" w:hAnsi="Verdana"/>
        </w:rPr>
        <w:tab/>
      </w:r>
      <w:r w:rsidRPr="003C25A8">
        <w:rPr>
          <w:rFonts w:ascii="Verdana" w:hAnsi="Verdana" w:cs="Arial"/>
        </w:rPr>
        <w:fldChar w:fldCharType="begin">
          <w:ffData>
            <w:name w:val="Kontrollkästchen5"/>
            <w:enabled/>
            <w:calcOnExit w:val="0"/>
            <w:checkBox>
              <w:sizeAuto/>
              <w:default w:val="0"/>
            </w:checkBox>
          </w:ffData>
        </w:fldChar>
      </w:r>
      <w:r w:rsidRPr="003C25A8">
        <w:rPr>
          <w:rFonts w:ascii="Verdana" w:hAnsi="Verdana" w:cs="Arial"/>
        </w:rPr>
        <w:instrText xml:space="preserve"> FORMCHECKBOX </w:instrText>
      </w:r>
      <w:r w:rsidR="00FF09A2">
        <w:rPr>
          <w:rFonts w:ascii="Verdana" w:hAnsi="Verdana" w:cs="Arial"/>
        </w:rPr>
      </w:r>
      <w:r w:rsidR="00FF09A2">
        <w:rPr>
          <w:rFonts w:ascii="Verdana" w:hAnsi="Verdana" w:cs="Arial"/>
        </w:rPr>
        <w:fldChar w:fldCharType="separate"/>
      </w:r>
      <w:r w:rsidRPr="003C25A8">
        <w:rPr>
          <w:rFonts w:ascii="Verdana" w:hAnsi="Verdana" w:cs="Arial"/>
        </w:rPr>
        <w:fldChar w:fldCharType="end"/>
      </w:r>
    </w:p>
    <w:p w:rsidR="00E75CEB" w:rsidRPr="00E75CEB" w:rsidRDefault="00E75CEB" w:rsidP="009D14C6">
      <w:pPr>
        <w:tabs>
          <w:tab w:val="left" w:pos="284"/>
          <w:tab w:val="left" w:pos="7938"/>
          <w:tab w:val="left" w:pos="8505"/>
        </w:tabs>
        <w:spacing w:line="360" w:lineRule="auto"/>
        <w:ind w:left="284"/>
        <w:rPr>
          <w:rFonts w:ascii="Verdana" w:hAnsi="Verdana" w:cs="Arial"/>
        </w:rPr>
      </w:pPr>
      <w:r>
        <w:rPr>
          <w:rFonts w:ascii="Verdana" w:hAnsi="Verdana"/>
        </w:rPr>
        <w:t>- Advertising claims that contain terms such as “Bio”, “Eco”, “Natural</w:t>
      </w:r>
      <w:r w:rsidR="008346F8">
        <w:rPr>
          <w:rFonts w:ascii="Verdana" w:hAnsi="Verdana"/>
        </w:rPr>
        <w:t>,</w:t>
      </w:r>
      <w:r>
        <w:rPr>
          <w:rFonts w:ascii="Verdana" w:hAnsi="Verdana"/>
        </w:rPr>
        <w:t xml:space="preserve"> “Fungal” or “Nano” as part of the name or description are not used.</w:t>
      </w:r>
      <w:r w:rsidR="008346F8">
        <w:rPr>
          <w:rFonts w:ascii="Verdana" w:hAnsi="Verdana"/>
        </w:rPr>
        <w:tab/>
      </w:r>
      <w:r>
        <w:rPr>
          <w:rFonts w:ascii="Verdana" w:hAnsi="Verdana"/>
        </w:rPr>
        <w:tab/>
      </w:r>
      <w:r w:rsidRPr="003C25A8">
        <w:rPr>
          <w:rFonts w:ascii="Verdana" w:hAnsi="Verdana" w:cs="Arial"/>
        </w:rPr>
        <w:fldChar w:fldCharType="begin">
          <w:ffData>
            <w:name w:val="Kontrollkästchen5"/>
            <w:enabled/>
            <w:calcOnExit w:val="0"/>
            <w:checkBox>
              <w:sizeAuto/>
              <w:default w:val="0"/>
            </w:checkBox>
          </w:ffData>
        </w:fldChar>
      </w:r>
      <w:r w:rsidRPr="003C25A8">
        <w:rPr>
          <w:rFonts w:ascii="Verdana" w:hAnsi="Verdana" w:cs="Arial"/>
        </w:rPr>
        <w:instrText xml:space="preserve"> FORMCHECKBOX </w:instrText>
      </w:r>
      <w:r w:rsidR="00FF09A2">
        <w:rPr>
          <w:rFonts w:ascii="Verdana" w:hAnsi="Verdana" w:cs="Arial"/>
        </w:rPr>
      </w:r>
      <w:r w:rsidR="00FF09A2">
        <w:rPr>
          <w:rFonts w:ascii="Verdana" w:hAnsi="Verdana" w:cs="Arial"/>
        </w:rPr>
        <w:fldChar w:fldCharType="separate"/>
      </w:r>
      <w:r w:rsidRPr="003C25A8">
        <w:rPr>
          <w:rFonts w:ascii="Verdana" w:hAnsi="Verdana" w:cs="Arial"/>
        </w:rPr>
        <w:fldChar w:fldCharType="end"/>
      </w:r>
    </w:p>
    <w:p w:rsidR="00E75CEB" w:rsidRDefault="00E75CEB" w:rsidP="00E75CEB">
      <w:pPr>
        <w:tabs>
          <w:tab w:val="left" w:pos="284"/>
          <w:tab w:val="left" w:pos="7938"/>
        </w:tabs>
        <w:spacing w:line="360" w:lineRule="auto"/>
        <w:ind w:left="284"/>
        <w:rPr>
          <w:rFonts w:ascii="Verdana" w:hAnsi="Verdana" w:cs="Arial"/>
        </w:rPr>
      </w:pPr>
      <w:r>
        <w:rPr>
          <w:rFonts w:ascii="Verdana" w:hAnsi="Verdana"/>
        </w:rPr>
        <w:t xml:space="preserve">- If the product complies with the requirement for the odour test in Paragraph 3.4, the sealant is advertised with the claim "low odour”. </w:t>
      </w:r>
      <w:r>
        <w:rPr>
          <w:rFonts w:ascii="Verdana" w:hAnsi="Verdana"/>
        </w:rPr>
        <w:tab/>
      </w:r>
      <w:r>
        <w:rPr>
          <w:rFonts w:ascii="Verdana" w:hAnsi="Verdana"/>
        </w:rPr>
        <w:tab/>
      </w:r>
      <w:r w:rsidRPr="003C25A8">
        <w:rPr>
          <w:rFonts w:ascii="Verdana" w:hAnsi="Verdana" w:cs="Arial"/>
        </w:rPr>
        <w:fldChar w:fldCharType="begin">
          <w:ffData>
            <w:name w:val="Kontrollkästchen5"/>
            <w:enabled/>
            <w:calcOnExit w:val="0"/>
            <w:checkBox>
              <w:sizeAuto/>
              <w:default w:val="0"/>
            </w:checkBox>
          </w:ffData>
        </w:fldChar>
      </w:r>
      <w:r w:rsidRPr="003C25A8">
        <w:rPr>
          <w:rFonts w:ascii="Verdana" w:hAnsi="Verdana" w:cs="Arial"/>
        </w:rPr>
        <w:instrText xml:space="preserve"> FORMCHECKBOX </w:instrText>
      </w:r>
      <w:r w:rsidR="00FF09A2">
        <w:rPr>
          <w:rFonts w:ascii="Verdana" w:hAnsi="Verdana" w:cs="Arial"/>
        </w:rPr>
      </w:r>
      <w:r w:rsidR="00FF09A2">
        <w:rPr>
          <w:rFonts w:ascii="Verdana" w:hAnsi="Verdana" w:cs="Arial"/>
        </w:rPr>
        <w:fldChar w:fldCharType="separate"/>
      </w:r>
      <w:r w:rsidRPr="003C25A8">
        <w:rPr>
          <w:rFonts w:ascii="Verdana" w:hAnsi="Verdana" w:cs="Arial"/>
        </w:rPr>
        <w:fldChar w:fldCharType="end"/>
      </w:r>
    </w:p>
    <w:p w:rsidR="007937A2" w:rsidRDefault="007937A2" w:rsidP="00E75CEB">
      <w:pPr>
        <w:tabs>
          <w:tab w:val="left" w:pos="284"/>
          <w:tab w:val="left" w:pos="7938"/>
        </w:tabs>
        <w:spacing w:line="360" w:lineRule="auto"/>
        <w:ind w:left="284"/>
        <w:rPr>
          <w:rFonts w:ascii="Verdana" w:hAnsi="Verdana" w:cs="Arial"/>
        </w:rPr>
      </w:pPr>
      <w:r>
        <w:rPr>
          <w:rFonts w:ascii="Verdana" w:hAnsi="Verdana"/>
        </w:rPr>
        <w:t>The safety data sheet is enclosed</w:t>
      </w:r>
      <w:r>
        <w:rPr>
          <w:rFonts w:ascii="Verdana" w:hAnsi="Verdana"/>
        </w:rPr>
        <w:tab/>
      </w:r>
      <w:r>
        <w:rPr>
          <w:rFonts w:ascii="Verdana" w:hAnsi="Verdana"/>
        </w:rPr>
        <w:tab/>
      </w:r>
      <w:r w:rsidRPr="003C25A8">
        <w:rPr>
          <w:rFonts w:ascii="Verdana" w:hAnsi="Verdana" w:cs="Arial"/>
        </w:rPr>
        <w:fldChar w:fldCharType="begin">
          <w:ffData>
            <w:name w:val="Kontrollkästchen5"/>
            <w:enabled/>
            <w:calcOnExit w:val="0"/>
            <w:checkBox>
              <w:sizeAuto/>
              <w:default w:val="0"/>
            </w:checkBox>
          </w:ffData>
        </w:fldChar>
      </w:r>
      <w:r w:rsidRPr="003C25A8">
        <w:rPr>
          <w:rFonts w:ascii="Verdana" w:hAnsi="Verdana" w:cs="Arial"/>
        </w:rPr>
        <w:instrText xml:space="preserve"> FORMCHECKBOX </w:instrText>
      </w:r>
      <w:r w:rsidR="00FF09A2">
        <w:rPr>
          <w:rFonts w:ascii="Verdana" w:hAnsi="Verdana" w:cs="Arial"/>
        </w:rPr>
      </w:r>
      <w:r w:rsidR="00FF09A2">
        <w:rPr>
          <w:rFonts w:ascii="Verdana" w:hAnsi="Verdana" w:cs="Arial"/>
        </w:rPr>
        <w:fldChar w:fldCharType="separate"/>
      </w:r>
      <w:r w:rsidRPr="003C25A8">
        <w:rPr>
          <w:rFonts w:ascii="Verdana" w:hAnsi="Verdana" w:cs="Arial"/>
        </w:rPr>
        <w:fldChar w:fldCharType="end"/>
      </w:r>
    </w:p>
    <w:p w:rsidR="007937A2" w:rsidRPr="00E75CEB" w:rsidRDefault="007937A2" w:rsidP="00E75CEB">
      <w:pPr>
        <w:tabs>
          <w:tab w:val="left" w:pos="284"/>
          <w:tab w:val="left" w:pos="7938"/>
        </w:tabs>
        <w:spacing w:line="360" w:lineRule="auto"/>
        <w:ind w:left="284"/>
        <w:rPr>
          <w:rFonts w:ascii="Verdana" w:hAnsi="Verdana" w:cs="Arial"/>
        </w:rPr>
      </w:pPr>
      <w:r>
        <w:rPr>
          <w:rFonts w:ascii="Verdana" w:hAnsi="Verdana"/>
        </w:rPr>
        <w:t>A technical data sheet is enclosed</w:t>
      </w:r>
      <w:r>
        <w:rPr>
          <w:rFonts w:ascii="Verdana" w:hAnsi="Verdana"/>
        </w:rPr>
        <w:tab/>
      </w:r>
      <w:r>
        <w:rPr>
          <w:rFonts w:ascii="Verdana" w:hAnsi="Verdana"/>
        </w:rPr>
        <w:tab/>
      </w:r>
      <w:r w:rsidRPr="003C25A8">
        <w:rPr>
          <w:rFonts w:ascii="Verdana" w:hAnsi="Verdana" w:cs="Arial"/>
        </w:rPr>
        <w:fldChar w:fldCharType="begin">
          <w:ffData>
            <w:name w:val="Kontrollkästchen5"/>
            <w:enabled/>
            <w:calcOnExit w:val="0"/>
            <w:checkBox>
              <w:sizeAuto/>
              <w:default w:val="0"/>
            </w:checkBox>
          </w:ffData>
        </w:fldChar>
      </w:r>
      <w:r w:rsidRPr="003C25A8">
        <w:rPr>
          <w:rFonts w:ascii="Verdana" w:hAnsi="Verdana" w:cs="Arial"/>
        </w:rPr>
        <w:instrText xml:space="preserve"> FORMCHECKBOX </w:instrText>
      </w:r>
      <w:r w:rsidR="00FF09A2">
        <w:rPr>
          <w:rFonts w:ascii="Verdana" w:hAnsi="Verdana" w:cs="Arial"/>
        </w:rPr>
      </w:r>
      <w:r w:rsidR="00FF09A2">
        <w:rPr>
          <w:rFonts w:ascii="Verdana" w:hAnsi="Verdana" w:cs="Arial"/>
        </w:rPr>
        <w:fldChar w:fldCharType="separate"/>
      </w:r>
      <w:r w:rsidRPr="003C25A8">
        <w:rPr>
          <w:rFonts w:ascii="Verdana" w:hAnsi="Verdana" w:cs="Arial"/>
        </w:rPr>
        <w:fldChar w:fldCharType="end"/>
      </w:r>
    </w:p>
    <w:p w:rsidR="00E75CEB" w:rsidRDefault="00E75CEB" w:rsidP="00774667">
      <w:pPr>
        <w:numPr>
          <w:ilvl w:val="12"/>
          <w:numId w:val="0"/>
        </w:numPr>
        <w:spacing w:line="360" w:lineRule="auto"/>
        <w:jc w:val="both"/>
        <w:rPr>
          <w:rFonts w:ascii="Verdana" w:hAnsi="Verdana" w:cs="Arial"/>
          <w:b/>
          <w:u w:val="single"/>
        </w:rPr>
      </w:pPr>
    </w:p>
    <w:p w:rsidR="00030C3E" w:rsidRDefault="00030C3E">
      <w:pPr>
        <w:overflowPunct/>
        <w:autoSpaceDE/>
        <w:autoSpaceDN/>
        <w:adjustRightInd/>
        <w:textAlignment w:val="auto"/>
        <w:rPr>
          <w:rFonts w:ascii="Verdana" w:hAnsi="Verdana" w:cs="Arial"/>
          <w:b/>
          <w:u w:val="single"/>
        </w:rPr>
      </w:pPr>
    </w:p>
    <w:p w:rsidR="00774667" w:rsidRPr="00030C3E" w:rsidRDefault="00774667" w:rsidP="00030C3E">
      <w:pPr>
        <w:pStyle w:val="Listenabsatz"/>
        <w:numPr>
          <w:ilvl w:val="1"/>
          <w:numId w:val="6"/>
        </w:numPr>
        <w:spacing w:line="360" w:lineRule="auto"/>
        <w:jc w:val="both"/>
        <w:rPr>
          <w:rFonts w:ascii="Verdana" w:hAnsi="Verdana" w:cs="Arial"/>
          <w:b/>
          <w:u w:val="single"/>
        </w:rPr>
      </w:pPr>
      <w:r>
        <w:rPr>
          <w:rFonts w:ascii="Verdana" w:hAnsi="Verdana"/>
          <w:b/>
          <w:u w:val="single"/>
        </w:rPr>
        <w:t>Declaration and consumer information</w:t>
      </w:r>
    </w:p>
    <w:p w:rsidR="00030C3E" w:rsidRPr="00030C3E" w:rsidRDefault="007937A2" w:rsidP="00030C3E">
      <w:pPr>
        <w:tabs>
          <w:tab w:val="left" w:pos="284"/>
          <w:tab w:val="left" w:pos="7938"/>
        </w:tabs>
        <w:spacing w:line="360" w:lineRule="auto"/>
        <w:rPr>
          <w:rFonts w:ascii="Verdana" w:hAnsi="Verdana" w:cs="Arial"/>
        </w:rPr>
      </w:pPr>
      <w:r>
        <w:rPr>
          <w:rFonts w:ascii="Verdana" w:hAnsi="Verdana"/>
        </w:rPr>
        <w:t>In addition to the obligatory P-phrases in accordance with the CLP Regulation (EC) No. 1272/2008, the following information is also stated on the container and the technical data sheet in an easy to read form (comparable wording / P-phrases are permitted):</w:t>
      </w:r>
    </w:p>
    <w:p w:rsidR="00030C3E" w:rsidRDefault="00774667" w:rsidP="00030C3E">
      <w:pPr>
        <w:pStyle w:val="Listenabsatz"/>
        <w:numPr>
          <w:ilvl w:val="0"/>
          <w:numId w:val="7"/>
        </w:numPr>
        <w:tabs>
          <w:tab w:val="left" w:pos="284"/>
          <w:tab w:val="left" w:pos="7938"/>
        </w:tabs>
        <w:spacing w:line="360" w:lineRule="auto"/>
        <w:rPr>
          <w:rFonts w:ascii="Verdana" w:hAnsi="Verdana" w:cs="Arial"/>
        </w:rPr>
      </w:pPr>
      <w:r>
        <w:rPr>
          <w:rFonts w:ascii="Verdana" w:hAnsi="Verdana"/>
        </w:rPr>
        <w:t xml:space="preserve">The type of sealant is stated on the container together with the product designation. </w:t>
      </w:r>
      <w:r>
        <w:rPr>
          <w:rFonts w:ascii="Verdana" w:hAnsi="Verdana"/>
        </w:rPr>
        <w:tab/>
      </w:r>
      <w:r>
        <w:rPr>
          <w:rFonts w:ascii="Verdana" w:hAnsi="Verdana"/>
        </w:rPr>
        <w:tab/>
      </w:r>
      <w:r w:rsidRPr="00030C3E">
        <w:rPr>
          <w:rFonts w:ascii="Verdana" w:hAnsi="Verdana" w:cs="Arial"/>
        </w:rPr>
        <w:fldChar w:fldCharType="begin">
          <w:ffData>
            <w:name w:val="Kontrollkästchen5"/>
            <w:enabled/>
            <w:calcOnExit w:val="0"/>
            <w:checkBox>
              <w:sizeAuto/>
              <w:default w:val="0"/>
            </w:checkBox>
          </w:ffData>
        </w:fldChar>
      </w:r>
      <w:r w:rsidRPr="00030C3E">
        <w:rPr>
          <w:rFonts w:ascii="Verdana" w:hAnsi="Verdana" w:cs="Arial"/>
        </w:rPr>
        <w:instrText xml:space="preserve"> FORMCHECKBOX </w:instrText>
      </w:r>
      <w:r w:rsidR="00FF09A2">
        <w:rPr>
          <w:rFonts w:ascii="Verdana" w:hAnsi="Verdana" w:cs="Arial"/>
        </w:rPr>
      </w:r>
      <w:r w:rsidR="00FF09A2">
        <w:rPr>
          <w:rFonts w:ascii="Verdana" w:hAnsi="Verdana" w:cs="Arial"/>
        </w:rPr>
        <w:fldChar w:fldCharType="separate"/>
      </w:r>
      <w:r w:rsidRPr="00030C3E">
        <w:rPr>
          <w:rFonts w:ascii="Verdana" w:hAnsi="Verdana" w:cs="Arial"/>
        </w:rPr>
        <w:fldChar w:fldCharType="end"/>
      </w:r>
    </w:p>
    <w:p w:rsidR="00030C3E" w:rsidRDefault="00774667" w:rsidP="00030C3E">
      <w:pPr>
        <w:pStyle w:val="Listenabsatz"/>
        <w:numPr>
          <w:ilvl w:val="0"/>
          <w:numId w:val="7"/>
        </w:numPr>
        <w:tabs>
          <w:tab w:val="left" w:pos="284"/>
          <w:tab w:val="left" w:pos="7938"/>
        </w:tabs>
        <w:spacing w:line="360" w:lineRule="auto"/>
        <w:rPr>
          <w:rFonts w:ascii="Verdana" w:hAnsi="Verdana" w:cs="Arial"/>
        </w:rPr>
      </w:pPr>
      <w:r>
        <w:rPr>
          <w:rFonts w:ascii="Verdana" w:hAnsi="Verdana"/>
        </w:rPr>
        <w:t>“Keep out of the reach of children.”</w:t>
      </w:r>
      <w:r>
        <w:rPr>
          <w:rFonts w:ascii="Verdana" w:hAnsi="Verdana"/>
        </w:rPr>
        <w:tab/>
      </w:r>
      <w:r>
        <w:rPr>
          <w:rFonts w:ascii="Verdana" w:hAnsi="Verdana"/>
        </w:rPr>
        <w:tab/>
      </w:r>
      <w:r w:rsidRPr="00030C3E">
        <w:rPr>
          <w:rFonts w:ascii="Verdana" w:hAnsi="Verdana" w:cs="Arial"/>
        </w:rPr>
        <w:fldChar w:fldCharType="begin">
          <w:ffData>
            <w:name w:val="Kontrollkästchen83"/>
            <w:enabled/>
            <w:calcOnExit w:val="0"/>
            <w:checkBox>
              <w:sizeAuto/>
              <w:default w:val="0"/>
            </w:checkBox>
          </w:ffData>
        </w:fldChar>
      </w:r>
      <w:bookmarkStart w:id="6" w:name="Kontrollkästchen83"/>
      <w:r w:rsidRPr="00030C3E">
        <w:rPr>
          <w:rFonts w:ascii="Verdana" w:hAnsi="Verdana" w:cs="Arial"/>
        </w:rPr>
        <w:instrText xml:space="preserve"> FORMCHECKBOX </w:instrText>
      </w:r>
      <w:r w:rsidR="00FF09A2">
        <w:rPr>
          <w:rFonts w:ascii="Verdana" w:hAnsi="Verdana" w:cs="Arial"/>
        </w:rPr>
      </w:r>
      <w:r w:rsidR="00FF09A2">
        <w:rPr>
          <w:rFonts w:ascii="Verdana" w:hAnsi="Verdana" w:cs="Arial"/>
        </w:rPr>
        <w:fldChar w:fldCharType="separate"/>
      </w:r>
      <w:r w:rsidRPr="00030C3E">
        <w:rPr>
          <w:rFonts w:ascii="Verdana" w:hAnsi="Verdana" w:cs="Arial"/>
        </w:rPr>
        <w:fldChar w:fldCharType="end"/>
      </w:r>
      <w:bookmarkEnd w:id="6"/>
    </w:p>
    <w:p w:rsidR="00774667" w:rsidRPr="00030C3E" w:rsidRDefault="00774667" w:rsidP="00030C3E">
      <w:pPr>
        <w:pStyle w:val="Listenabsatz"/>
        <w:numPr>
          <w:ilvl w:val="0"/>
          <w:numId w:val="7"/>
        </w:numPr>
        <w:tabs>
          <w:tab w:val="left" w:pos="284"/>
          <w:tab w:val="left" w:pos="7938"/>
        </w:tabs>
        <w:spacing w:line="360" w:lineRule="auto"/>
        <w:rPr>
          <w:rFonts w:ascii="Verdana" w:hAnsi="Verdana" w:cs="Arial"/>
        </w:rPr>
      </w:pPr>
      <w:r>
        <w:rPr>
          <w:rFonts w:ascii="Verdana" w:hAnsi="Verdana"/>
        </w:rPr>
        <w:t>“Ensure good ventilation during and after</w:t>
      </w:r>
    </w:p>
    <w:p w:rsidR="00030C3E" w:rsidRDefault="00774667" w:rsidP="00030C3E">
      <w:pPr>
        <w:tabs>
          <w:tab w:val="left" w:pos="567"/>
          <w:tab w:val="left" w:pos="7938"/>
        </w:tabs>
        <w:spacing w:line="360" w:lineRule="auto"/>
        <w:ind w:left="644"/>
        <w:rPr>
          <w:rFonts w:ascii="Verdana" w:hAnsi="Verdana" w:cs="Arial"/>
        </w:rPr>
      </w:pPr>
      <w:r>
        <w:rPr>
          <w:rFonts w:ascii="Verdana" w:hAnsi="Verdana"/>
        </w:rPr>
        <w:t xml:space="preserve">       application and </w:t>
      </w:r>
      <w:proofErr w:type="gramStart"/>
      <w:r>
        <w:rPr>
          <w:rFonts w:ascii="Verdana" w:hAnsi="Verdana"/>
        </w:rPr>
        <w:t xml:space="preserve">drying“ </w:t>
      </w:r>
      <w:r>
        <w:rPr>
          <w:rFonts w:ascii="Verdana" w:hAnsi="Verdana"/>
        </w:rPr>
        <w:tab/>
      </w:r>
      <w:proofErr w:type="gramEnd"/>
      <w:r>
        <w:rPr>
          <w:rFonts w:ascii="Verdana" w:hAnsi="Verdana"/>
        </w:rPr>
        <w:tab/>
      </w:r>
      <w:r w:rsidR="00030C3E" w:rsidRPr="00030C3E">
        <w:rPr>
          <w:rFonts w:ascii="Verdana" w:hAnsi="Verdana" w:cs="Arial"/>
        </w:rPr>
        <w:fldChar w:fldCharType="begin">
          <w:ffData>
            <w:name w:val="Kontrollkästchen83"/>
            <w:enabled/>
            <w:calcOnExit w:val="0"/>
            <w:checkBox>
              <w:sizeAuto/>
              <w:default w:val="0"/>
            </w:checkBox>
          </w:ffData>
        </w:fldChar>
      </w:r>
      <w:r w:rsidR="00030C3E" w:rsidRPr="00030C3E">
        <w:rPr>
          <w:rFonts w:ascii="Verdana" w:hAnsi="Verdana" w:cs="Arial"/>
        </w:rPr>
        <w:instrText xml:space="preserve"> FORMCHECKBOX </w:instrText>
      </w:r>
      <w:r w:rsidR="00FF09A2">
        <w:rPr>
          <w:rFonts w:ascii="Verdana" w:hAnsi="Verdana" w:cs="Arial"/>
        </w:rPr>
      </w:r>
      <w:r w:rsidR="00FF09A2">
        <w:rPr>
          <w:rFonts w:ascii="Verdana" w:hAnsi="Verdana" w:cs="Arial"/>
        </w:rPr>
        <w:fldChar w:fldCharType="separate"/>
      </w:r>
      <w:r w:rsidR="00030C3E" w:rsidRPr="00030C3E">
        <w:rPr>
          <w:rFonts w:ascii="Verdana" w:hAnsi="Verdana" w:cs="Arial"/>
        </w:rPr>
        <w:fldChar w:fldCharType="end"/>
      </w:r>
    </w:p>
    <w:p w:rsidR="00030C3E" w:rsidRDefault="00774667" w:rsidP="00030C3E">
      <w:pPr>
        <w:pStyle w:val="Listenabsatz"/>
        <w:numPr>
          <w:ilvl w:val="0"/>
          <w:numId w:val="7"/>
        </w:numPr>
        <w:tabs>
          <w:tab w:val="left" w:pos="567"/>
          <w:tab w:val="left" w:pos="7938"/>
        </w:tabs>
        <w:spacing w:line="360" w:lineRule="auto"/>
        <w:ind w:left="644"/>
        <w:rPr>
          <w:rFonts w:ascii="Verdana" w:hAnsi="Verdana" w:cs="Arial"/>
        </w:rPr>
      </w:pPr>
      <w:r>
        <w:rPr>
          <w:rFonts w:ascii="Verdana" w:hAnsi="Verdana"/>
        </w:rPr>
        <w:t>“Do not eat, drink or smoke when applying</w:t>
      </w:r>
    </w:p>
    <w:p w:rsidR="00030C3E" w:rsidRPr="00030C3E" w:rsidRDefault="00030C3E" w:rsidP="00030C3E">
      <w:pPr>
        <w:pStyle w:val="Listenabsatz"/>
        <w:tabs>
          <w:tab w:val="left" w:pos="567"/>
          <w:tab w:val="left" w:pos="7938"/>
        </w:tabs>
        <w:spacing w:line="360" w:lineRule="auto"/>
        <w:ind w:left="644"/>
        <w:rPr>
          <w:rFonts w:ascii="Verdana" w:hAnsi="Verdana" w:cs="Arial"/>
        </w:rPr>
      </w:pPr>
      <w:r>
        <w:rPr>
          <w:rFonts w:ascii="Verdana" w:hAnsi="Verdana"/>
        </w:rPr>
        <w:t xml:space="preserve"> this </w:t>
      </w:r>
      <w:proofErr w:type="gramStart"/>
      <w:r>
        <w:rPr>
          <w:rFonts w:ascii="Verdana" w:hAnsi="Verdana"/>
        </w:rPr>
        <w:t>product“</w:t>
      </w:r>
      <w:proofErr w:type="gramEnd"/>
      <w:r>
        <w:rPr>
          <w:rFonts w:ascii="Verdana" w:hAnsi="Verdana"/>
        </w:rPr>
        <w:tab/>
      </w:r>
      <w:r>
        <w:rPr>
          <w:rFonts w:ascii="Verdana" w:hAnsi="Verdana"/>
        </w:rPr>
        <w:tab/>
      </w:r>
      <w:r w:rsidR="00774667" w:rsidRPr="00030C3E">
        <w:rPr>
          <w:rFonts w:ascii="Verdana" w:hAnsi="Verdana" w:cs="Arial"/>
        </w:rPr>
        <w:fldChar w:fldCharType="begin">
          <w:ffData>
            <w:name w:val="Kontrollkästchen85"/>
            <w:enabled/>
            <w:calcOnExit w:val="0"/>
            <w:checkBox>
              <w:sizeAuto/>
              <w:default w:val="0"/>
            </w:checkBox>
          </w:ffData>
        </w:fldChar>
      </w:r>
      <w:bookmarkStart w:id="7" w:name="Kontrollkästchen85"/>
      <w:r w:rsidR="00774667" w:rsidRPr="00030C3E">
        <w:rPr>
          <w:rFonts w:ascii="Verdana" w:hAnsi="Verdana" w:cs="Arial"/>
        </w:rPr>
        <w:instrText xml:space="preserve"> FORMCHECKBOX </w:instrText>
      </w:r>
      <w:r w:rsidR="00FF09A2">
        <w:rPr>
          <w:rFonts w:ascii="Verdana" w:hAnsi="Verdana" w:cs="Arial"/>
        </w:rPr>
      </w:r>
      <w:r w:rsidR="00FF09A2">
        <w:rPr>
          <w:rFonts w:ascii="Verdana" w:hAnsi="Verdana" w:cs="Arial"/>
        </w:rPr>
        <w:fldChar w:fldCharType="separate"/>
      </w:r>
      <w:r w:rsidR="00774667" w:rsidRPr="00030C3E">
        <w:rPr>
          <w:rFonts w:ascii="Verdana" w:hAnsi="Verdana" w:cs="Arial"/>
        </w:rPr>
        <w:fldChar w:fldCharType="end"/>
      </w:r>
      <w:bookmarkEnd w:id="7"/>
    </w:p>
    <w:p w:rsidR="00774667" w:rsidRPr="00030C3E" w:rsidRDefault="00030C3E" w:rsidP="00030C3E">
      <w:pPr>
        <w:pStyle w:val="Listenabsatz"/>
        <w:numPr>
          <w:ilvl w:val="0"/>
          <w:numId w:val="7"/>
        </w:numPr>
        <w:tabs>
          <w:tab w:val="left" w:pos="567"/>
          <w:tab w:val="left" w:pos="7938"/>
        </w:tabs>
        <w:spacing w:line="360" w:lineRule="auto"/>
        <w:rPr>
          <w:rFonts w:ascii="Verdana" w:hAnsi="Verdana" w:cs="Arial"/>
        </w:rPr>
      </w:pPr>
      <w:r>
        <w:rPr>
          <w:rFonts w:ascii="Verdana" w:hAnsi="Verdana"/>
        </w:rPr>
        <w:t>“In case of contact with skin or eyes, rinse immediately with</w:t>
      </w:r>
    </w:p>
    <w:p w:rsidR="00030C3E" w:rsidRDefault="00774667" w:rsidP="00030C3E">
      <w:pPr>
        <w:tabs>
          <w:tab w:val="left" w:pos="7938"/>
        </w:tabs>
        <w:spacing w:line="360" w:lineRule="auto"/>
        <w:ind w:left="644"/>
        <w:jc w:val="both"/>
        <w:rPr>
          <w:rFonts w:ascii="Verdana" w:hAnsi="Verdana" w:cs="Arial"/>
        </w:rPr>
      </w:pPr>
      <w:r>
        <w:rPr>
          <w:rFonts w:ascii="Verdana" w:hAnsi="Verdana"/>
        </w:rPr>
        <w:t xml:space="preserve">       plenty of </w:t>
      </w:r>
      <w:proofErr w:type="gramStart"/>
      <w:r>
        <w:rPr>
          <w:rFonts w:ascii="Verdana" w:hAnsi="Verdana"/>
        </w:rPr>
        <w:t xml:space="preserve">water“ </w:t>
      </w:r>
      <w:r>
        <w:rPr>
          <w:rFonts w:ascii="Verdana" w:hAnsi="Verdana"/>
        </w:rPr>
        <w:tab/>
      </w:r>
      <w:proofErr w:type="gramEnd"/>
      <w:r>
        <w:rPr>
          <w:rFonts w:ascii="Verdana" w:hAnsi="Verdana"/>
        </w:rPr>
        <w:tab/>
      </w:r>
      <w:r w:rsidR="00030C3E" w:rsidRPr="00030C3E">
        <w:rPr>
          <w:rFonts w:ascii="Verdana" w:hAnsi="Verdana" w:cs="Arial"/>
        </w:rPr>
        <w:fldChar w:fldCharType="begin">
          <w:ffData>
            <w:name w:val="Kontrollkästchen83"/>
            <w:enabled/>
            <w:calcOnExit w:val="0"/>
            <w:checkBox>
              <w:sizeAuto/>
              <w:default w:val="0"/>
            </w:checkBox>
          </w:ffData>
        </w:fldChar>
      </w:r>
      <w:r w:rsidR="00030C3E" w:rsidRPr="00030C3E">
        <w:rPr>
          <w:rFonts w:ascii="Verdana" w:hAnsi="Verdana" w:cs="Arial"/>
        </w:rPr>
        <w:instrText xml:space="preserve"> FORMCHECKBOX </w:instrText>
      </w:r>
      <w:r w:rsidR="00FF09A2">
        <w:rPr>
          <w:rFonts w:ascii="Verdana" w:hAnsi="Verdana" w:cs="Arial"/>
        </w:rPr>
      </w:r>
      <w:r w:rsidR="00FF09A2">
        <w:rPr>
          <w:rFonts w:ascii="Verdana" w:hAnsi="Verdana" w:cs="Arial"/>
        </w:rPr>
        <w:fldChar w:fldCharType="separate"/>
      </w:r>
      <w:r w:rsidR="00030C3E" w:rsidRPr="00030C3E">
        <w:rPr>
          <w:rFonts w:ascii="Verdana" w:hAnsi="Verdana" w:cs="Arial"/>
        </w:rPr>
        <w:fldChar w:fldCharType="end"/>
      </w:r>
    </w:p>
    <w:p w:rsidR="00030C3E" w:rsidRPr="00030C3E" w:rsidRDefault="00030C3E" w:rsidP="00030C3E">
      <w:pPr>
        <w:pStyle w:val="Listenabsatz"/>
        <w:numPr>
          <w:ilvl w:val="0"/>
          <w:numId w:val="7"/>
        </w:numPr>
        <w:tabs>
          <w:tab w:val="left" w:pos="567"/>
          <w:tab w:val="left" w:pos="7938"/>
        </w:tabs>
        <w:spacing w:line="360" w:lineRule="auto"/>
        <w:rPr>
          <w:rFonts w:ascii="Verdana" w:hAnsi="Verdana" w:cs="Arial"/>
        </w:rPr>
      </w:pPr>
      <w:r>
        <w:rPr>
          <w:rFonts w:ascii="Verdana" w:hAnsi="Verdana"/>
        </w:rPr>
        <w:t xml:space="preserve">“Only pass on empty containers for recycling. Dried product residues can be disposed of as household waste” </w:t>
      </w:r>
      <w:r>
        <w:rPr>
          <w:rFonts w:ascii="Verdana" w:hAnsi="Verdana"/>
        </w:rPr>
        <w:tab/>
      </w:r>
      <w:r>
        <w:rPr>
          <w:rFonts w:ascii="Verdana" w:hAnsi="Verdana"/>
        </w:rPr>
        <w:tab/>
      </w:r>
      <w:r w:rsidRPr="00030C3E">
        <w:rPr>
          <w:rFonts w:ascii="Verdana" w:hAnsi="Verdana" w:cs="Arial"/>
        </w:rPr>
        <w:fldChar w:fldCharType="begin">
          <w:ffData>
            <w:name w:val="Kontrollkästchen83"/>
            <w:enabled/>
            <w:calcOnExit w:val="0"/>
            <w:checkBox>
              <w:sizeAuto/>
              <w:default w:val="0"/>
            </w:checkBox>
          </w:ffData>
        </w:fldChar>
      </w:r>
      <w:r w:rsidRPr="00030C3E">
        <w:rPr>
          <w:rFonts w:ascii="Verdana" w:hAnsi="Verdana" w:cs="Arial"/>
        </w:rPr>
        <w:instrText xml:space="preserve"> FORMCHECKBOX </w:instrText>
      </w:r>
      <w:r w:rsidR="00FF09A2">
        <w:rPr>
          <w:rFonts w:ascii="Verdana" w:hAnsi="Verdana" w:cs="Arial"/>
        </w:rPr>
      </w:r>
      <w:r w:rsidR="00FF09A2">
        <w:rPr>
          <w:rFonts w:ascii="Verdana" w:hAnsi="Verdana" w:cs="Arial"/>
        </w:rPr>
        <w:fldChar w:fldCharType="separate"/>
      </w:r>
      <w:r w:rsidRPr="00030C3E">
        <w:rPr>
          <w:rFonts w:ascii="Verdana" w:hAnsi="Verdana" w:cs="Arial"/>
        </w:rPr>
        <w:fldChar w:fldCharType="end"/>
      </w:r>
    </w:p>
    <w:p w:rsidR="00030C3E" w:rsidRDefault="00030C3E" w:rsidP="00030C3E">
      <w:pPr>
        <w:pStyle w:val="Listenabsatz"/>
        <w:numPr>
          <w:ilvl w:val="0"/>
          <w:numId w:val="7"/>
        </w:numPr>
        <w:tabs>
          <w:tab w:val="left" w:pos="7938"/>
        </w:tabs>
        <w:spacing w:line="360" w:lineRule="auto"/>
        <w:jc w:val="both"/>
        <w:rPr>
          <w:rFonts w:ascii="Verdana" w:hAnsi="Verdana" w:cs="Arial"/>
        </w:rPr>
      </w:pPr>
      <w:r>
        <w:rPr>
          <w:rFonts w:ascii="Verdana" w:hAnsi="Verdana"/>
        </w:rPr>
        <w:t xml:space="preserve"> “The product contains: </w:t>
      </w:r>
      <w:r>
        <w:rPr>
          <w:rFonts w:ascii="Verdana" w:hAnsi="Verdana"/>
          <w:i/>
        </w:rPr>
        <w:t>……</w:t>
      </w:r>
      <w:proofErr w:type="gramStart"/>
      <w:r>
        <w:rPr>
          <w:rFonts w:ascii="Verdana" w:hAnsi="Verdana"/>
          <w:i/>
        </w:rPr>
        <w:t>…..</w:t>
      </w:r>
      <w:proofErr w:type="gramEnd"/>
      <w:r>
        <w:rPr>
          <w:rFonts w:ascii="Verdana" w:hAnsi="Verdana"/>
          <w:i/>
        </w:rPr>
        <w:t xml:space="preserve">(indication of the name(s) of the preservative(s) according to Appendix A); </w:t>
      </w:r>
      <w:r>
        <w:rPr>
          <w:rFonts w:ascii="Verdana" w:hAnsi="Verdana"/>
        </w:rPr>
        <w:t>Information for persons with allergies is available on telephone number ………..“</w:t>
      </w:r>
      <w:r>
        <w:rPr>
          <w:rFonts w:ascii="Verdana" w:hAnsi="Verdana"/>
        </w:rPr>
        <w:tab/>
      </w:r>
      <w:r>
        <w:rPr>
          <w:rFonts w:ascii="Verdana" w:hAnsi="Verdana"/>
        </w:rPr>
        <w:tab/>
      </w:r>
      <w:r w:rsidR="00774667" w:rsidRPr="00030C3E">
        <w:rPr>
          <w:rFonts w:ascii="Verdana" w:hAnsi="Verdana" w:cs="Arial"/>
        </w:rPr>
        <w:fldChar w:fldCharType="begin">
          <w:ffData>
            <w:name w:val="Kontrollkästchen87"/>
            <w:enabled/>
            <w:calcOnExit w:val="0"/>
            <w:checkBox>
              <w:sizeAuto/>
              <w:default w:val="0"/>
            </w:checkBox>
          </w:ffData>
        </w:fldChar>
      </w:r>
      <w:bookmarkStart w:id="8" w:name="Kontrollkästchen87"/>
      <w:r w:rsidR="00774667" w:rsidRPr="00030C3E">
        <w:rPr>
          <w:rFonts w:ascii="Verdana" w:hAnsi="Verdana" w:cs="Arial"/>
        </w:rPr>
        <w:instrText xml:space="preserve"> FORMCHECKBOX </w:instrText>
      </w:r>
      <w:r w:rsidR="00FF09A2">
        <w:rPr>
          <w:rFonts w:ascii="Verdana" w:hAnsi="Verdana" w:cs="Arial"/>
        </w:rPr>
      </w:r>
      <w:r w:rsidR="00FF09A2">
        <w:rPr>
          <w:rFonts w:ascii="Verdana" w:hAnsi="Verdana" w:cs="Arial"/>
        </w:rPr>
        <w:fldChar w:fldCharType="separate"/>
      </w:r>
      <w:r w:rsidR="00774667" w:rsidRPr="00030C3E">
        <w:rPr>
          <w:rFonts w:ascii="Verdana" w:hAnsi="Verdana" w:cs="Arial"/>
        </w:rPr>
        <w:fldChar w:fldCharType="end"/>
      </w:r>
      <w:bookmarkEnd w:id="8"/>
    </w:p>
    <w:p w:rsidR="00030C3E" w:rsidRDefault="00774667" w:rsidP="00030C3E">
      <w:pPr>
        <w:pStyle w:val="Listenabsatz"/>
        <w:numPr>
          <w:ilvl w:val="0"/>
          <w:numId w:val="7"/>
        </w:numPr>
        <w:tabs>
          <w:tab w:val="left" w:pos="7938"/>
        </w:tabs>
        <w:spacing w:line="360" w:lineRule="auto"/>
        <w:jc w:val="both"/>
        <w:rPr>
          <w:rFonts w:ascii="Verdana" w:hAnsi="Verdana" w:cs="Arial"/>
        </w:rPr>
      </w:pPr>
      <w:r>
        <w:rPr>
          <w:rFonts w:ascii="Verdana" w:hAnsi="Verdana"/>
        </w:rPr>
        <w:t>The container contains a clear reference to the technical data sheet, information on where it can be found and a telephone number for the manufacturer where the consumer can receive further information</w:t>
      </w:r>
      <w:proofErr w:type="gramStart"/>
      <w:r>
        <w:rPr>
          <w:rFonts w:ascii="Verdana" w:hAnsi="Verdana"/>
        </w:rPr>
        <w:t>. ,</w:t>
      </w:r>
      <w:proofErr w:type="gramEnd"/>
      <w:r>
        <w:rPr>
          <w:rFonts w:ascii="Verdana" w:hAnsi="Verdana"/>
        </w:rPr>
        <w:tab/>
      </w:r>
      <w:r>
        <w:rPr>
          <w:rFonts w:ascii="Verdana" w:hAnsi="Verdana"/>
        </w:rPr>
        <w:tab/>
      </w:r>
      <w:r w:rsidR="00030C3E" w:rsidRPr="00030C3E">
        <w:rPr>
          <w:rFonts w:ascii="Verdana" w:hAnsi="Verdana" w:cs="Arial"/>
        </w:rPr>
        <w:fldChar w:fldCharType="begin">
          <w:ffData>
            <w:name w:val="Kontrollkästchen83"/>
            <w:enabled/>
            <w:calcOnExit w:val="0"/>
            <w:checkBox>
              <w:sizeAuto/>
              <w:default w:val="0"/>
            </w:checkBox>
          </w:ffData>
        </w:fldChar>
      </w:r>
      <w:r w:rsidR="00030C3E" w:rsidRPr="00030C3E">
        <w:rPr>
          <w:rFonts w:ascii="Verdana" w:hAnsi="Verdana" w:cs="Arial"/>
        </w:rPr>
        <w:instrText xml:space="preserve"> FORMCHECKBOX </w:instrText>
      </w:r>
      <w:r w:rsidR="00FF09A2">
        <w:rPr>
          <w:rFonts w:ascii="Verdana" w:hAnsi="Verdana" w:cs="Arial"/>
        </w:rPr>
      </w:r>
      <w:r w:rsidR="00FF09A2">
        <w:rPr>
          <w:rFonts w:ascii="Verdana" w:hAnsi="Verdana" w:cs="Arial"/>
        </w:rPr>
        <w:fldChar w:fldCharType="separate"/>
      </w:r>
      <w:r w:rsidR="00030C3E" w:rsidRPr="00030C3E">
        <w:rPr>
          <w:rFonts w:ascii="Verdana" w:hAnsi="Verdana" w:cs="Arial"/>
        </w:rPr>
        <w:fldChar w:fldCharType="end"/>
      </w:r>
    </w:p>
    <w:p w:rsidR="00173C6D" w:rsidRDefault="000975CF" w:rsidP="00173C6D">
      <w:pPr>
        <w:pStyle w:val="Listenabsatz"/>
        <w:numPr>
          <w:ilvl w:val="0"/>
          <w:numId w:val="7"/>
        </w:numPr>
        <w:tabs>
          <w:tab w:val="left" w:pos="7938"/>
        </w:tabs>
        <w:spacing w:line="360" w:lineRule="auto"/>
        <w:jc w:val="both"/>
        <w:rPr>
          <w:rFonts w:ascii="Verdana" w:hAnsi="Verdana" w:cs="Arial"/>
        </w:rPr>
      </w:pPr>
      <w:r>
        <w:rPr>
          <w:rFonts w:ascii="Verdana" w:hAnsi="Verdana"/>
        </w:rPr>
        <w:t>In addition, a corresponding reference must be included on the container</w:t>
      </w:r>
    </w:p>
    <w:p w:rsidR="00173C6D" w:rsidRDefault="000975CF" w:rsidP="00173C6D">
      <w:pPr>
        <w:pStyle w:val="Listenabsatz"/>
        <w:tabs>
          <w:tab w:val="left" w:pos="7938"/>
        </w:tabs>
        <w:spacing w:line="360" w:lineRule="auto"/>
        <w:jc w:val="both"/>
        <w:rPr>
          <w:rFonts w:ascii="Verdana" w:hAnsi="Verdana" w:cs="Arial"/>
        </w:rPr>
      </w:pPr>
      <w:r>
        <w:rPr>
          <w:rFonts w:ascii="Verdana" w:hAnsi="Verdana"/>
        </w:rPr>
        <w:t>if the product contains a preservative and a telephone</w:t>
      </w:r>
    </w:p>
    <w:p w:rsidR="00173C6D" w:rsidRDefault="000975CF" w:rsidP="00173C6D">
      <w:pPr>
        <w:pStyle w:val="Listenabsatz"/>
        <w:tabs>
          <w:tab w:val="left" w:pos="7938"/>
        </w:tabs>
        <w:spacing w:line="360" w:lineRule="auto"/>
        <w:jc w:val="both"/>
        <w:rPr>
          <w:rFonts w:ascii="Verdana" w:hAnsi="Verdana" w:cs="Arial"/>
        </w:rPr>
      </w:pPr>
      <w:r>
        <w:rPr>
          <w:rFonts w:ascii="Verdana" w:hAnsi="Verdana"/>
        </w:rPr>
        <w:t>number for the manufacturer where the consumer can receive</w:t>
      </w:r>
    </w:p>
    <w:p w:rsidR="000975CF" w:rsidRPr="00173C6D" w:rsidRDefault="000975CF" w:rsidP="00173C6D">
      <w:pPr>
        <w:pStyle w:val="Listenabsatz"/>
        <w:tabs>
          <w:tab w:val="left" w:pos="7938"/>
        </w:tabs>
        <w:spacing w:line="360" w:lineRule="auto"/>
        <w:jc w:val="both"/>
        <w:rPr>
          <w:rFonts w:ascii="Verdana" w:hAnsi="Verdana" w:cs="Arial"/>
        </w:rPr>
      </w:pPr>
      <w:r>
        <w:rPr>
          <w:rFonts w:ascii="Verdana" w:hAnsi="Verdana"/>
        </w:rPr>
        <w:t xml:space="preserve">further information must be provided. </w:t>
      </w:r>
      <w:r>
        <w:rPr>
          <w:rFonts w:ascii="Verdana" w:hAnsi="Verdana"/>
        </w:rPr>
        <w:tab/>
      </w:r>
      <w:r>
        <w:rPr>
          <w:rFonts w:ascii="Verdana" w:hAnsi="Verdana"/>
        </w:rPr>
        <w:tab/>
      </w:r>
      <w:r w:rsidRPr="00173C6D">
        <w:rPr>
          <w:rFonts w:ascii="Verdana" w:hAnsi="Verdana" w:cs="Arial"/>
        </w:rPr>
        <w:fldChar w:fldCharType="begin">
          <w:ffData>
            <w:name w:val="Kontrollkästchen5"/>
            <w:enabled/>
            <w:calcOnExit w:val="0"/>
            <w:checkBox>
              <w:sizeAuto/>
              <w:default w:val="0"/>
            </w:checkBox>
          </w:ffData>
        </w:fldChar>
      </w:r>
      <w:r w:rsidRPr="00173C6D">
        <w:rPr>
          <w:rFonts w:ascii="Verdana" w:hAnsi="Verdana" w:cs="Arial"/>
        </w:rPr>
        <w:instrText xml:space="preserve"> FORMCHECKBOX </w:instrText>
      </w:r>
      <w:r w:rsidR="00FF09A2">
        <w:rPr>
          <w:rFonts w:ascii="Verdana" w:hAnsi="Verdana" w:cs="Arial"/>
        </w:rPr>
      </w:r>
      <w:r w:rsidR="00FF09A2">
        <w:rPr>
          <w:rFonts w:ascii="Verdana" w:hAnsi="Verdana" w:cs="Arial"/>
        </w:rPr>
        <w:fldChar w:fldCharType="separate"/>
      </w:r>
      <w:r w:rsidRPr="00173C6D">
        <w:rPr>
          <w:rFonts w:ascii="Verdana" w:hAnsi="Verdana" w:cs="Arial"/>
        </w:rPr>
        <w:fldChar w:fldCharType="end"/>
      </w:r>
    </w:p>
    <w:p w:rsidR="00030C3E" w:rsidRDefault="00030C3E" w:rsidP="00774667">
      <w:pPr>
        <w:pStyle w:val="Listenabsatz"/>
        <w:numPr>
          <w:ilvl w:val="0"/>
          <w:numId w:val="3"/>
        </w:numPr>
        <w:tabs>
          <w:tab w:val="clear" w:pos="1004"/>
          <w:tab w:val="left" w:pos="284"/>
          <w:tab w:val="num" w:pos="567"/>
          <w:tab w:val="left" w:pos="7938"/>
        </w:tabs>
        <w:spacing w:line="360" w:lineRule="auto"/>
        <w:ind w:left="567" w:hanging="283"/>
        <w:jc w:val="both"/>
        <w:rPr>
          <w:rFonts w:ascii="Verdana" w:hAnsi="Verdana" w:cs="Arial"/>
        </w:rPr>
      </w:pPr>
      <w:r>
        <w:rPr>
          <w:rFonts w:ascii="Verdana" w:hAnsi="Verdana"/>
        </w:rPr>
        <w:t>The cross-linking system is also stated on the technical data sheet.</w:t>
      </w:r>
    </w:p>
    <w:p w:rsidR="00774667" w:rsidRPr="00030C3E" w:rsidRDefault="00774667" w:rsidP="00774667">
      <w:pPr>
        <w:pStyle w:val="Listenabsatz"/>
        <w:numPr>
          <w:ilvl w:val="0"/>
          <w:numId w:val="3"/>
        </w:numPr>
        <w:tabs>
          <w:tab w:val="clear" w:pos="1004"/>
          <w:tab w:val="left" w:pos="284"/>
          <w:tab w:val="num" w:pos="567"/>
          <w:tab w:val="left" w:pos="7938"/>
        </w:tabs>
        <w:spacing w:line="360" w:lineRule="auto"/>
        <w:ind w:left="567" w:hanging="283"/>
        <w:jc w:val="both"/>
        <w:rPr>
          <w:rFonts w:ascii="Verdana" w:hAnsi="Verdana" w:cs="Arial"/>
        </w:rPr>
      </w:pPr>
      <w:r>
        <w:rPr>
          <w:rFonts w:ascii="Verdana" w:hAnsi="Verdana"/>
        </w:rPr>
        <w:t>The technical data sheet is enclosed.</w:t>
      </w:r>
      <w:r>
        <w:rPr>
          <w:rFonts w:ascii="Verdana" w:hAnsi="Verdana"/>
        </w:rPr>
        <w:tab/>
      </w:r>
      <w:r>
        <w:rPr>
          <w:rFonts w:ascii="Verdana" w:hAnsi="Verdana"/>
        </w:rPr>
        <w:tab/>
      </w:r>
      <w:r w:rsidRPr="00030C3E">
        <w:rPr>
          <w:rFonts w:ascii="Verdana" w:hAnsi="Verdana" w:cs="Arial"/>
        </w:rPr>
        <w:fldChar w:fldCharType="begin">
          <w:ffData>
            <w:name w:val="Kontrollkästchen5"/>
            <w:enabled/>
            <w:calcOnExit w:val="0"/>
            <w:checkBox>
              <w:sizeAuto/>
              <w:default w:val="0"/>
            </w:checkBox>
          </w:ffData>
        </w:fldChar>
      </w:r>
      <w:r w:rsidRPr="00030C3E">
        <w:rPr>
          <w:rFonts w:ascii="Verdana" w:hAnsi="Verdana" w:cs="Arial"/>
        </w:rPr>
        <w:instrText xml:space="preserve"> FORMCHECKBOX </w:instrText>
      </w:r>
      <w:r w:rsidR="00FF09A2">
        <w:rPr>
          <w:rFonts w:ascii="Verdana" w:hAnsi="Verdana" w:cs="Arial"/>
        </w:rPr>
      </w:r>
      <w:r w:rsidR="00FF09A2">
        <w:rPr>
          <w:rFonts w:ascii="Verdana" w:hAnsi="Verdana" w:cs="Arial"/>
        </w:rPr>
        <w:fldChar w:fldCharType="separate"/>
      </w:r>
      <w:r w:rsidRPr="00030C3E">
        <w:rPr>
          <w:rFonts w:ascii="Verdana" w:hAnsi="Verdana" w:cs="Arial"/>
        </w:rPr>
        <w:fldChar w:fldCharType="end"/>
      </w:r>
    </w:p>
    <w:p w:rsidR="00774667" w:rsidRPr="003C25A8" w:rsidRDefault="00774667" w:rsidP="00774667">
      <w:pPr>
        <w:numPr>
          <w:ilvl w:val="0"/>
          <w:numId w:val="3"/>
        </w:numPr>
        <w:tabs>
          <w:tab w:val="clear" w:pos="1004"/>
          <w:tab w:val="left" w:pos="284"/>
          <w:tab w:val="num" w:pos="567"/>
          <w:tab w:val="left" w:pos="7938"/>
        </w:tabs>
        <w:spacing w:line="360" w:lineRule="auto"/>
        <w:ind w:left="567" w:hanging="283"/>
        <w:rPr>
          <w:rFonts w:ascii="Verdana" w:hAnsi="Verdana" w:cs="Arial"/>
        </w:rPr>
      </w:pPr>
      <w:r>
        <w:rPr>
          <w:rFonts w:ascii="Verdana" w:hAnsi="Verdana"/>
        </w:rPr>
        <w:t>The container text is enclosed.</w:t>
      </w:r>
      <w:r>
        <w:rPr>
          <w:rFonts w:ascii="Verdana" w:hAnsi="Verdana"/>
        </w:rPr>
        <w:tab/>
      </w:r>
      <w:r>
        <w:rPr>
          <w:rFonts w:ascii="Verdana" w:hAnsi="Verdana"/>
        </w:rPr>
        <w:tab/>
      </w:r>
      <w:r w:rsidRPr="003C25A8">
        <w:rPr>
          <w:rFonts w:ascii="Verdana" w:hAnsi="Verdana" w:cs="Arial"/>
        </w:rPr>
        <w:fldChar w:fldCharType="begin">
          <w:ffData>
            <w:name w:val="Kontrollkästchen5"/>
            <w:enabled/>
            <w:calcOnExit w:val="0"/>
            <w:checkBox>
              <w:sizeAuto/>
              <w:default w:val="0"/>
            </w:checkBox>
          </w:ffData>
        </w:fldChar>
      </w:r>
      <w:r w:rsidRPr="003C25A8">
        <w:rPr>
          <w:rFonts w:ascii="Verdana" w:hAnsi="Verdana" w:cs="Arial"/>
        </w:rPr>
        <w:instrText xml:space="preserve"> FORMCHECKBOX </w:instrText>
      </w:r>
      <w:r w:rsidR="00FF09A2">
        <w:rPr>
          <w:rFonts w:ascii="Verdana" w:hAnsi="Verdana" w:cs="Arial"/>
        </w:rPr>
      </w:r>
      <w:r w:rsidR="00FF09A2">
        <w:rPr>
          <w:rFonts w:ascii="Verdana" w:hAnsi="Verdana" w:cs="Arial"/>
        </w:rPr>
        <w:fldChar w:fldCharType="separate"/>
      </w:r>
      <w:r w:rsidRPr="003C25A8">
        <w:rPr>
          <w:rFonts w:ascii="Verdana" w:hAnsi="Verdana" w:cs="Arial"/>
        </w:rPr>
        <w:fldChar w:fldCharType="end"/>
      </w:r>
    </w:p>
    <w:p w:rsidR="00774667" w:rsidRPr="003C25A8" w:rsidRDefault="000975CF" w:rsidP="00774667">
      <w:pPr>
        <w:numPr>
          <w:ilvl w:val="12"/>
          <w:numId w:val="0"/>
        </w:numPr>
        <w:spacing w:line="360" w:lineRule="auto"/>
        <w:jc w:val="both"/>
        <w:rPr>
          <w:rFonts w:ascii="Verdana" w:hAnsi="Verdana" w:cs="Arial"/>
          <w:b/>
          <w:u w:val="single"/>
        </w:rPr>
      </w:pPr>
      <w:r>
        <w:rPr>
          <w:rFonts w:ascii="Verdana" w:hAnsi="Verdana"/>
        </w:rPr>
        <w:t>If no preservatives have been used, the phrase “preservative-free” may be included on the container.</w:t>
      </w:r>
    </w:p>
    <w:p w:rsidR="00774667" w:rsidRPr="003C25A8" w:rsidRDefault="00774667" w:rsidP="00774667">
      <w:pPr>
        <w:tabs>
          <w:tab w:val="left" w:pos="284"/>
          <w:tab w:val="left" w:pos="7938"/>
        </w:tabs>
        <w:spacing w:line="360" w:lineRule="auto"/>
        <w:ind w:left="285"/>
        <w:rPr>
          <w:rFonts w:ascii="Verdana" w:hAnsi="Verdana" w:cs="Arial"/>
        </w:rPr>
      </w:pPr>
      <w:r>
        <w:rPr>
          <w:rFonts w:ascii="Verdana" w:hAnsi="Verdana"/>
        </w:rPr>
        <w:tab/>
      </w:r>
    </w:p>
    <w:p w:rsidR="009D14C6" w:rsidRDefault="009D14C6">
      <w:pPr>
        <w:overflowPunct/>
        <w:autoSpaceDE/>
        <w:autoSpaceDN/>
        <w:adjustRightInd/>
        <w:textAlignment w:val="auto"/>
        <w:rPr>
          <w:rFonts w:ascii="Verdana" w:hAnsi="Verdana"/>
          <w:b/>
          <w:u w:val="single"/>
        </w:rPr>
      </w:pPr>
      <w:r>
        <w:rPr>
          <w:rFonts w:ascii="Verdana" w:hAnsi="Verdana"/>
          <w:b/>
          <w:u w:val="single"/>
        </w:rPr>
        <w:br w:type="page"/>
      </w:r>
    </w:p>
    <w:p w:rsidR="00774667" w:rsidRDefault="00774667" w:rsidP="00774667">
      <w:pPr>
        <w:spacing w:line="360" w:lineRule="auto"/>
        <w:rPr>
          <w:rFonts w:ascii="Verdana" w:hAnsi="Verdana" w:cs="Arial"/>
          <w:b/>
          <w:u w:val="single"/>
        </w:rPr>
      </w:pPr>
      <w:r>
        <w:rPr>
          <w:rFonts w:ascii="Verdana" w:hAnsi="Verdana"/>
          <w:b/>
          <w:u w:val="single"/>
        </w:rPr>
        <w:lastRenderedPageBreak/>
        <w:t>Other annexes are enclosed</w:t>
      </w:r>
    </w:p>
    <w:p w:rsidR="00173C6D" w:rsidRDefault="00173C6D" w:rsidP="00173C6D">
      <w:pPr>
        <w:numPr>
          <w:ilvl w:val="12"/>
          <w:numId w:val="0"/>
        </w:numPr>
        <w:spacing w:line="360" w:lineRule="auto"/>
        <w:jc w:val="both"/>
        <w:rPr>
          <w:rFonts w:ascii="Verdana" w:hAnsi="Verdana" w:cs="Arial"/>
        </w:rPr>
      </w:pPr>
      <w:r>
        <w:rPr>
          <w:rFonts w:ascii="Verdana" w:hAnsi="Verdana"/>
        </w:rPr>
        <w:t>Annex 2: Brand names and suppliers of all individual primary products</w:t>
      </w:r>
    </w:p>
    <w:p w:rsidR="00173C6D" w:rsidRDefault="00173C6D" w:rsidP="00173C6D">
      <w:pPr>
        <w:numPr>
          <w:ilvl w:val="12"/>
          <w:numId w:val="0"/>
        </w:numPr>
        <w:spacing w:line="360" w:lineRule="auto"/>
        <w:jc w:val="both"/>
        <w:rPr>
          <w:rFonts w:ascii="Verdana" w:hAnsi="Verdana" w:cs="Arial"/>
        </w:rPr>
      </w:pPr>
      <w:r>
        <w:rPr>
          <w:rFonts w:ascii="Verdana" w:hAnsi="Verdana"/>
        </w:rPr>
        <w:t>Annex 3: Declarations from the manufacturer or distributor of the primary products</w:t>
      </w:r>
    </w:p>
    <w:p w:rsidR="00030C3E" w:rsidRPr="00173C6D" w:rsidRDefault="00173C6D" w:rsidP="00173C6D">
      <w:pPr>
        <w:numPr>
          <w:ilvl w:val="12"/>
          <w:numId w:val="0"/>
        </w:numPr>
        <w:spacing w:line="360" w:lineRule="auto"/>
        <w:jc w:val="both"/>
        <w:rPr>
          <w:rFonts w:ascii="Verdana" w:hAnsi="Verdana" w:cs="Arial"/>
        </w:rPr>
      </w:pPr>
      <w:r>
        <w:rPr>
          <w:rFonts w:ascii="Verdana" w:hAnsi="Verdana"/>
        </w:rPr>
        <w:t>Annex 4: Safety data sheets</w:t>
      </w:r>
    </w:p>
    <w:p w:rsidR="00206294" w:rsidRDefault="00206294" w:rsidP="00877E78">
      <w:pPr>
        <w:tabs>
          <w:tab w:val="left" w:pos="851"/>
        </w:tabs>
        <w:ind w:left="5670" w:hanging="5670"/>
        <w:rPr>
          <w:rFonts w:ascii="Verdana" w:hAnsi="Verdana" w:cs="Arial"/>
        </w:rPr>
      </w:pPr>
    </w:p>
    <w:p w:rsidR="009D14C6" w:rsidRDefault="009D14C6" w:rsidP="00877E78">
      <w:pPr>
        <w:tabs>
          <w:tab w:val="left" w:pos="851"/>
        </w:tabs>
        <w:ind w:left="5670" w:hanging="5670"/>
        <w:rPr>
          <w:rFonts w:ascii="Verdana" w:hAnsi="Verdana" w:cs="Arial"/>
        </w:rPr>
      </w:pPr>
    </w:p>
    <w:p w:rsidR="009D14C6" w:rsidRDefault="009D14C6" w:rsidP="00877E78">
      <w:pPr>
        <w:tabs>
          <w:tab w:val="left" w:pos="851"/>
        </w:tabs>
        <w:ind w:left="5670" w:hanging="5670"/>
        <w:rPr>
          <w:rFonts w:ascii="Verdana" w:hAnsi="Verdana" w:cs="Arial"/>
        </w:rPr>
      </w:pPr>
    </w:p>
    <w:p w:rsidR="009D14C6" w:rsidRPr="003C25A8" w:rsidRDefault="009D14C6" w:rsidP="00877E78">
      <w:pPr>
        <w:tabs>
          <w:tab w:val="left" w:pos="851"/>
        </w:tabs>
        <w:ind w:left="5670" w:hanging="5670"/>
        <w:rPr>
          <w:rFonts w:ascii="Verdana" w:hAnsi="Verdana" w:cs="Arial"/>
        </w:rPr>
      </w:pPr>
    </w:p>
    <w:p w:rsidR="003C25A8" w:rsidRDefault="00877E78" w:rsidP="00877E78">
      <w:pPr>
        <w:tabs>
          <w:tab w:val="left" w:pos="851"/>
        </w:tabs>
        <w:ind w:left="5670" w:hanging="5670"/>
        <w:rPr>
          <w:rFonts w:ascii="Verdana" w:hAnsi="Verdana" w:cs="Arial"/>
        </w:rPr>
      </w:pPr>
      <w:r>
        <w:rPr>
          <w:rFonts w:ascii="Verdana" w:hAnsi="Verdana"/>
        </w:rPr>
        <w:t>Location:</w:t>
      </w:r>
      <w:r>
        <w:rPr>
          <w:rFonts w:ascii="Verdana" w:hAnsi="Verdana"/>
        </w:rPr>
        <w:tab/>
      </w:r>
      <w:r w:rsidRPr="003C25A8">
        <w:rPr>
          <w:rFonts w:ascii="Verdana" w:hAnsi="Verdana" w:cs="Arial"/>
        </w:rPr>
        <w:fldChar w:fldCharType="begin" w:fldLock="1">
          <w:ffData>
            <w:name w:val="Text1"/>
            <w:enabled/>
            <w:calcOnExit w:val="0"/>
            <w:textInput>
              <w:maxLength w:val="30"/>
            </w:textInput>
          </w:ffData>
        </w:fldChar>
      </w:r>
      <w:r w:rsidRPr="003C25A8">
        <w:rPr>
          <w:rFonts w:ascii="Verdana" w:hAnsi="Verdana" w:cs="Arial"/>
        </w:rPr>
        <w:instrText xml:space="preserve"> FORMTEXT </w:instrText>
      </w:r>
      <w:r w:rsidRPr="003C25A8">
        <w:rPr>
          <w:rFonts w:ascii="Verdana" w:hAnsi="Verdana" w:cs="Arial"/>
        </w:rPr>
      </w:r>
      <w:r w:rsidRPr="003C25A8">
        <w:rPr>
          <w:rFonts w:ascii="Verdana" w:hAnsi="Verdana" w:cs="Arial"/>
        </w:rPr>
        <w:fldChar w:fldCharType="separate"/>
      </w:r>
      <w:r>
        <w:rPr>
          <w:rFonts w:ascii="Verdana" w:hAnsi="Verdana"/>
        </w:rPr>
        <w:t>     </w:t>
      </w:r>
      <w:r w:rsidRPr="003C25A8">
        <w:rPr>
          <w:rFonts w:ascii="Verdana" w:hAnsi="Verdana" w:cs="Arial"/>
        </w:rPr>
        <w:fldChar w:fldCharType="end"/>
      </w:r>
      <w:r>
        <w:rPr>
          <w:rFonts w:ascii="Verdana" w:hAnsi="Verdana"/>
        </w:rPr>
        <w:tab/>
      </w:r>
    </w:p>
    <w:p w:rsidR="00D41A9A" w:rsidRPr="003C25A8" w:rsidRDefault="00173C6D" w:rsidP="00877E78">
      <w:pPr>
        <w:tabs>
          <w:tab w:val="left" w:pos="851"/>
        </w:tabs>
        <w:ind w:left="5670" w:hanging="5670"/>
        <w:rPr>
          <w:rFonts w:ascii="Verdana" w:hAnsi="Verdana" w:cs="Arial"/>
        </w:rPr>
      </w:pPr>
      <w:r>
        <w:rPr>
          <w:rFonts w:ascii="Verdana" w:hAnsi="Verdana"/>
        </w:rPr>
        <w:t>Date:</w:t>
      </w:r>
      <w:r>
        <w:rPr>
          <w:rFonts w:ascii="Verdana" w:hAnsi="Verdana"/>
        </w:rPr>
        <w:tab/>
      </w:r>
      <w:r w:rsidRPr="003C25A8">
        <w:rPr>
          <w:rFonts w:ascii="Verdana" w:hAnsi="Verdana" w:cs="Arial"/>
        </w:rPr>
        <w:fldChar w:fldCharType="begin" w:fldLock="1">
          <w:ffData>
            <w:name w:val="Text1"/>
            <w:enabled/>
            <w:calcOnExit w:val="0"/>
            <w:textInput>
              <w:maxLength w:val="30"/>
            </w:textInput>
          </w:ffData>
        </w:fldChar>
      </w:r>
      <w:r w:rsidRPr="003C25A8">
        <w:rPr>
          <w:rFonts w:ascii="Verdana" w:hAnsi="Verdana" w:cs="Arial"/>
        </w:rPr>
        <w:instrText xml:space="preserve"> FORMTEXT </w:instrText>
      </w:r>
      <w:r w:rsidRPr="003C25A8">
        <w:rPr>
          <w:rFonts w:ascii="Verdana" w:hAnsi="Verdana" w:cs="Arial"/>
        </w:rPr>
      </w:r>
      <w:r w:rsidRPr="003C25A8">
        <w:rPr>
          <w:rFonts w:ascii="Verdana" w:hAnsi="Verdana" w:cs="Arial"/>
        </w:rPr>
        <w:fldChar w:fldCharType="separate"/>
      </w:r>
      <w:r>
        <w:rPr>
          <w:rFonts w:ascii="Verdana" w:hAnsi="Verdana"/>
        </w:rPr>
        <w:t>     </w:t>
      </w:r>
      <w:r w:rsidRPr="003C25A8">
        <w:rPr>
          <w:rFonts w:ascii="Verdana" w:hAnsi="Verdana" w:cs="Arial"/>
        </w:rPr>
        <w:fldChar w:fldCharType="end"/>
      </w:r>
      <w:r>
        <w:rPr>
          <w:rFonts w:ascii="Verdana" w:hAnsi="Verdana"/>
        </w:rPr>
        <w:tab/>
        <w:t>Applicant: (Legally binding signature</w:t>
      </w:r>
      <w:r>
        <w:rPr>
          <w:rFonts w:ascii="Verdana" w:hAnsi="Verdana"/>
        </w:rPr>
        <w:br/>
        <w:t>and company stamp)</w:t>
      </w:r>
    </w:p>
    <w:sectPr w:rsidR="00D41A9A" w:rsidRPr="003C25A8" w:rsidSect="00774667">
      <w:headerReference w:type="default" r:id="rId7"/>
      <w:footerReference w:type="default" r:id="rId8"/>
      <w:type w:val="continuous"/>
      <w:pgSz w:w="11907" w:h="16840" w:code="9"/>
      <w:pgMar w:top="1531" w:right="1276"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7EF1" w:rsidRDefault="009A7EF1">
      <w:r>
        <w:separator/>
      </w:r>
    </w:p>
  </w:endnote>
  <w:endnote w:type="continuationSeparator" w:id="0">
    <w:p w:rsidR="009A7EF1" w:rsidRDefault="009A7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E78" w:rsidRPr="003C25A8" w:rsidRDefault="00877E78">
    <w:pPr>
      <w:pStyle w:val="Fuzeile"/>
      <w:rPr>
        <w:rFonts w:ascii="Verdana" w:hAnsi="Verdana"/>
      </w:rPr>
    </w:pPr>
    <w:r>
      <w:rPr>
        <w:rFonts w:ascii="Verdana" w:hAnsi="Verdana"/>
      </w:rPr>
      <w:t>Annex 1 to the contract</w:t>
    </w:r>
    <w:r>
      <w:rPr>
        <w:rFonts w:ascii="Verdana" w:hAnsi="Verdana"/>
      </w:rPr>
      <w:tab/>
    </w:r>
    <w:r w:rsidRPr="003C25A8">
      <w:rPr>
        <w:rStyle w:val="Seitenzahl"/>
        <w:rFonts w:ascii="Verdana" w:hAnsi="Verdana" w:cs="Arial"/>
      </w:rPr>
      <w:fldChar w:fldCharType="begin"/>
    </w:r>
    <w:r w:rsidRPr="003C25A8">
      <w:rPr>
        <w:rStyle w:val="Seitenzahl"/>
        <w:rFonts w:ascii="Verdana" w:hAnsi="Verdana" w:cs="Arial"/>
      </w:rPr>
      <w:instrText xml:space="preserve"> PAGE </w:instrText>
    </w:r>
    <w:r w:rsidRPr="003C25A8">
      <w:rPr>
        <w:rStyle w:val="Seitenzahl"/>
        <w:rFonts w:ascii="Verdana" w:hAnsi="Verdana" w:cs="Arial"/>
      </w:rPr>
      <w:fldChar w:fldCharType="separate"/>
    </w:r>
    <w:r w:rsidR="0064216F">
      <w:rPr>
        <w:rStyle w:val="Seitenzahl"/>
        <w:rFonts w:ascii="Verdana" w:hAnsi="Verdana" w:cs="Arial"/>
        <w:noProof/>
      </w:rPr>
      <w:t>1</w:t>
    </w:r>
    <w:r w:rsidRPr="003C25A8">
      <w:rPr>
        <w:rStyle w:val="Seitenzahl"/>
        <w:rFonts w:ascii="Verdana" w:hAnsi="Verdana" w:cs="Arial"/>
      </w:rPr>
      <w:fldChar w:fldCharType="end"/>
    </w:r>
    <w:r>
      <w:rPr>
        <w:rFonts w:ascii="Verdana" w:hAnsi="Verdana"/>
      </w:rPr>
      <w:t>/</w:t>
    </w:r>
    <w:r w:rsidR="009D14C6">
      <w:rPr>
        <w:rFonts w:ascii="Verdana" w:hAnsi="Verdana"/>
      </w:rPr>
      <w:t>5</w:t>
    </w:r>
    <w:r>
      <w:rPr>
        <w:rFonts w:ascii="Verdana" w:hAnsi="Verdana"/>
      </w:rPr>
      <w:tab/>
      <w:t>DE-UZ 123 - Edition January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7EF1" w:rsidRDefault="009A7EF1">
      <w:r>
        <w:separator/>
      </w:r>
    </w:p>
  </w:footnote>
  <w:footnote w:type="continuationSeparator" w:id="0">
    <w:p w:rsidR="009A7EF1" w:rsidRDefault="009A7EF1">
      <w:r>
        <w:continuationSeparator/>
      </w:r>
    </w:p>
  </w:footnote>
  <w:footnote w:id="1">
    <w:p w:rsidR="006E0B1F" w:rsidRPr="00986551" w:rsidRDefault="006E0B1F" w:rsidP="006E0B1F">
      <w:pPr>
        <w:pStyle w:val="Fuzeile"/>
        <w:ind w:left="255" w:hanging="255"/>
        <w:rPr>
          <w:rFonts w:ascii="Arial" w:hAnsi="Arial" w:cs="Arial"/>
          <w:sz w:val="18"/>
          <w:szCs w:val="18"/>
        </w:rPr>
      </w:pPr>
      <w:r>
        <w:rPr>
          <w:rStyle w:val="Funotenzeichen"/>
          <w:rFonts w:ascii="Arial" w:hAnsi="Arial" w:cs="Arial"/>
          <w:sz w:val="18"/>
          <w:szCs w:val="18"/>
        </w:rPr>
        <w:footnoteRef/>
      </w:r>
      <w:r>
        <w:rPr>
          <w:rFonts w:ascii="Arial" w:hAnsi="Arial"/>
          <w:sz w:val="18"/>
          <w:szCs w:val="18"/>
        </w:rPr>
        <w:t xml:space="preserve">    The version of the list of candidates at the time of application is valid. The list of candidates in its relevant version can be found at: </w:t>
      </w:r>
      <w:hyperlink r:id="rId1" w:history="1">
        <w:r>
          <w:rPr>
            <w:rStyle w:val="Hyperlink"/>
            <w:rFonts w:ascii="Arial" w:hAnsi="Arial"/>
            <w:sz w:val="18"/>
            <w:szCs w:val="18"/>
          </w:rPr>
          <w:t>http://echa.europa.eu/chem_data/authorisation_process/candidate_list_table_en.asp</w:t>
        </w:r>
      </w:hyperlink>
      <w:r>
        <w:rPr>
          <w:rFonts w:ascii="Arial" w:hAnsi="Arial"/>
          <w:sz w:val="18"/>
          <w:szCs w:val="18"/>
        </w:rPr>
        <w:t>.</w:t>
      </w:r>
    </w:p>
  </w:footnote>
  <w:footnote w:id="2">
    <w:p w:rsidR="006E0B1F" w:rsidRPr="00986551" w:rsidRDefault="006E0B1F" w:rsidP="006E0B1F">
      <w:pPr>
        <w:pStyle w:val="Fuzeile"/>
        <w:ind w:left="255" w:hanging="255"/>
        <w:rPr>
          <w:rFonts w:ascii="Arial" w:hAnsi="Arial" w:cs="Arial"/>
          <w:sz w:val="18"/>
          <w:szCs w:val="18"/>
        </w:rPr>
      </w:pPr>
      <w:r>
        <w:rPr>
          <w:rStyle w:val="Funotenzeichen"/>
          <w:rFonts w:ascii="Arial" w:hAnsi="Arial" w:cs="Arial"/>
          <w:sz w:val="18"/>
          <w:szCs w:val="18"/>
        </w:rPr>
        <w:footnoteRef/>
      </w:r>
      <w:r>
        <w:rPr>
          <w:rFonts w:ascii="Arial" w:hAnsi="Arial"/>
          <w:color w:val="000000"/>
          <w:sz w:val="18"/>
          <w:szCs w:val="18"/>
        </w:rPr>
        <w:t xml:space="preserve">    </w:t>
      </w:r>
      <w:r>
        <w:rPr>
          <w:rFonts w:ascii="Arial" w:hAnsi="Arial"/>
          <w:sz w:val="18"/>
          <w:szCs w:val="18"/>
        </w:rPr>
        <w:t xml:space="preserve">Regulation (EG) No. 1272/2008, in short CLP Regulation (Classification, Labelling and Packaging), replaces the old Directives 67/548/EEC (Dangerous Substances Directive) and 1999/45/EC (Dangerous Preparations Directive). According to the said regulation, substances are classified, labelled and packed until 1 December 2010 according to Directive 67/548/EEC (Dangerous Substances Directive) while mixtures are classified, labelled and packed until 1 June 2015 according to Directive 1999/45/EC (Dangerous Preparations Directive). Thereafter, the CLP Regulation must be applied. The new indications of danger (H Phrases) </w:t>
      </w:r>
      <w:r>
        <w:rPr>
          <w:rFonts w:ascii="Arial" w:hAnsi="Arial"/>
          <w:color w:val="000000"/>
          <w:sz w:val="18"/>
          <w:szCs w:val="18"/>
        </w:rPr>
        <w:t>as well as the hitherto applicable risk phrases (R Phrases) shall be indicated for substances until 1 June 2015</w:t>
      </w:r>
      <w:r>
        <w:rPr>
          <w:rFonts w:ascii="Arial" w:hAnsi="Arial"/>
          <w:sz w:val="18"/>
          <w:szCs w:val="18"/>
        </w:rPr>
        <w:t>.</w:t>
      </w:r>
    </w:p>
  </w:footnote>
  <w:footnote w:id="3">
    <w:p w:rsidR="006E0B1F" w:rsidRPr="00986551" w:rsidRDefault="006E0B1F" w:rsidP="006E0B1F">
      <w:pPr>
        <w:pStyle w:val="Fuzeile"/>
        <w:ind w:left="255" w:hanging="255"/>
        <w:rPr>
          <w:rFonts w:ascii="Arial" w:hAnsi="Arial" w:cs="Arial"/>
          <w:sz w:val="18"/>
          <w:szCs w:val="18"/>
        </w:rPr>
      </w:pPr>
      <w:r>
        <w:rPr>
          <w:rStyle w:val="Funotenzeichen"/>
          <w:rFonts w:ascii="Arial" w:hAnsi="Arial" w:cs="Arial"/>
          <w:sz w:val="18"/>
          <w:szCs w:val="18"/>
        </w:rPr>
        <w:footnoteRef/>
      </w:r>
      <w:r>
        <w:rPr>
          <w:rFonts w:ascii="Arial" w:hAnsi="Arial"/>
          <w:sz w:val="18"/>
          <w:szCs w:val="18"/>
        </w:rPr>
        <w:t xml:space="preserve">    The harmonized classifications and labellings of dangerous substances can be found in Annex VI, Part 3 of the CLP Regulation. Furthermore, a compre0hensive classification and labelling inventory, which also includes all of the self-classifications of hazardous substances made by manufacturers, has been made available to the public on the website of the European Chemicals Agency: </w:t>
      </w:r>
      <w:hyperlink r:id="rId2" w:history="1">
        <w:r>
          <w:rPr>
            <w:rStyle w:val="Hyperlink"/>
            <w:rFonts w:ascii="Arial" w:hAnsi="Arial"/>
            <w:sz w:val="18"/>
            <w:szCs w:val="18"/>
          </w:rPr>
          <w:t>ECHA classification and labelling inventory.</w:t>
        </w:r>
      </w:hyperlink>
    </w:p>
  </w:footnote>
  <w:footnote w:id="4">
    <w:p w:rsidR="006E0B1F" w:rsidRPr="00986551" w:rsidRDefault="006E0B1F" w:rsidP="006E0B1F">
      <w:pPr>
        <w:pStyle w:val="Funotentext"/>
        <w:ind w:left="255" w:hanging="255"/>
        <w:rPr>
          <w:rFonts w:ascii="Arial" w:hAnsi="Arial" w:cs="Arial"/>
          <w:sz w:val="18"/>
          <w:szCs w:val="18"/>
        </w:rPr>
      </w:pPr>
      <w:r>
        <w:rPr>
          <w:rStyle w:val="Funotenzeichen"/>
          <w:rFonts w:ascii="Arial" w:hAnsi="Arial" w:cs="Arial"/>
          <w:sz w:val="18"/>
          <w:szCs w:val="18"/>
        </w:rPr>
        <w:footnoteRef/>
      </w:r>
      <w:r>
        <w:rPr>
          <w:rFonts w:ascii="Arial" w:hAnsi="Arial"/>
          <w:sz w:val="18"/>
          <w:szCs w:val="18"/>
        </w:rPr>
        <w:t xml:space="preserve">    Substances with other hazardous properties are not excluded here but are instead restricted by the emissions evaluation (see Paragraph 3.1.1).</w:t>
      </w:r>
    </w:p>
  </w:footnote>
  <w:footnote w:id="5">
    <w:p w:rsidR="006E0B1F" w:rsidRPr="00986551" w:rsidRDefault="006E0B1F" w:rsidP="006E0B1F">
      <w:pPr>
        <w:pStyle w:val="Fuzeile"/>
        <w:ind w:left="255" w:hanging="255"/>
        <w:rPr>
          <w:rFonts w:ascii="Arial" w:hAnsi="Arial" w:cs="Arial"/>
          <w:sz w:val="18"/>
          <w:szCs w:val="18"/>
        </w:rPr>
      </w:pPr>
      <w:r>
        <w:rPr>
          <w:rStyle w:val="Funotenzeichen"/>
          <w:rFonts w:ascii="Arial" w:hAnsi="Arial" w:cs="Arial"/>
          <w:sz w:val="18"/>
          <w:szCs w:val="18"/>
        </w:rPr>
        <w:footnoteRef/>
      </w:r>
      <w:r>
        <w:rPr>
          <w:rFonts w:ascii="Arial" w:hAnsi="Arial"/>
          <w:sz w:val="18"/>
          <w:szCs w:val="18"/>
        </w:rPr>
        <w:t xml:space="preserve">    TRGS 905, directory of carcinogenic, mutagenic or teratogenic substances from the Committee for Hazardous Substances (AGS): </w:t>
      </w:r>
      <w:hyperlink r:id="rId3" w:history="1">
        <w:r>
          <w:rPr>
            <w:rStyle w:val="Hyperlink"/>
            <w:rFonts w:ascii="Arial" w:hAnsi="Arial"/>
            <w:sz w:val="18"/>
            <w:szCs w:val="18"/>
          </w:rPr>
          <w:t>TRGS 905.</w:t>
        </w:r>
      </w:hyperlink>
      <w:r>
        <w:rPr>
          <w:rFonts w:ascii="Arial" w:hAnsi="Arial"/>
          <w:sz w:val="18"/>
          <w:szCs w:val="18"/>
        </w:rPr>
        <w:t xml:space="preserve"> The current version at the time of application is valid. The CMR complete list published by the Institute for Occupational Safety and Health of the German Social Accident Insurance can also be used as a reference tool (amalgamation of the CMR substances according to the CLP Regulation and TRGS 905): </w:t>
      </w:r>
      <w:hyperlink r:id="rId4" w:history="1">
        <w:r>
          <w:rPr>
            <w:rStyle w:val="Hyperlink"/>
            <w:rFonts w:ascii="Arial" w:hAnsi="Arial"/>
            <w:sz w:val="18"/>
            <w:szCs w:val="18"/>
          </w:rPr>
          <w:t>CMR complete list</w:t>
        </w:r>
      </w:hyperlink>
      <w:r>
        <w:rPr>
          <w:rFonts w:ascii="Arial" w:hAnsi="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294" w:rsidRDefault="00C93151" w:rsidP="00206294">
    <w:pPr>
      <w:pStyle w:val="Kopfzeile"/>
      <w:jc w:val="right"/>
    </w:pPr>
    <w:r>
      <w:rPr>
        <w:noProof/>
        <w:lang w:val="de-DE"/>
      </w:rPr>
      <w:drawing>
        <wp:inline distT="0" distB="0" distL="0" distR="0" wp14:anchorId="5DD292FA" wp14:editId="725D62AD">
          <wp:extent cx="657225" cy="457200"/>
          <wp:effectExtent l="0" t="0" r="9525" b="0"/>
          <wp:docPr id="1" name="Bild 1" descr="RAL_gGmbH_Logo_neu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_gGmbH_Logo_neu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35779"/>
    <w:multiLevelType w:val="hybridMultilevel"/>
    <w:tmpl w:val="7DEAE7AC"/>
    <w:lvl w:ilvl="0" w:tplc="EC58AAD2">
      <w:start w:val="1"/>
      <w:numFmt w:val="bullet"/>
      <w:lvlText w:val=""/>
      <w:lvlJc w:val="left"/>
      <w:pPr>
        <w:tabs>
          <w:tab w:val="num" w:pos="1004"/>
        </w:tabs>
        <w:ind w:left="1004" w:hanging="360"/>
      </w:pPr>
      <w:rPr>
        <w:rFonts w:ascii="Symbol" w:hAnsi="Symbol" w:hint="default"/>
      </w:rPr>
    </w:lvl>
    <w:lvl w:ilvl="1" w:tplc="04070003" w:tentative="1">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 w15:restartNumberingAfterBreak="0">
    <w:nsid w:val="5145166C"/>
    <w:multiLevelType w:val="hybridMultilevel"/>
    <w:tmpl w:val="B7C0B744"/>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E71631F"/>
    <w:multiLevelType w:val="multilevel"/>
    <w:tmpl w:val="FC96B006"/>
    <w:lvl w:ilvl="0">
      <w:start w:val="1"/>
      <w:numFmt w:val="decimal"/>
      <w:pStyle w:val="Nummerierung"/>
      <w:lvlText w:val="%1."/>
      <w:lvlJc w:val="left"/>
      <w:pPr>
        <w:tabs>
          <w:tab w:val="num" w:pos="1248"/>
        </w:tabs>
        <w:ind w:left="1248" w:hanging="397"/>
      </w:pPr>
    </w:lvl>
    <w:lvl w:ilvl="1">
      <w:start w:val="1"/>
      <w:numFmt w:val="decimal"/>
      <w:isLgl/>
      <w:lvlText w:val="%1.%2"/>
      <w:lvlJc w:val="left"/>
      <w:pPr>
        <w:tabs>
          <w:tab w:val="num" w:pos="1261"/>
        </w:tabs>
        <w:ind w:left="1261" w:hanging="675"/>
      </w:pPr>
    </w:lvl>
    <w:lvl w:ilvl="2">
      <w:start w:val="3"/>
      <w:numFmt w:val="decimal"/>
      <w:isLgl/>
      <w:lvlText w:val="%1.%2.%3"/>
      <w:lvlJc w:val="left"/>
      <w:pPr>
        <w:tabs>
          <w:tab w:val="num" w:pos="1328"/>
        </w:tabs>
        <w:ind w:left="1328" w:hanging="720"/>
      </w:pPr>
    </w:lvl>
    <w:lvl w:ilvl="3">
      <w:start w:val="3"/>
      <w:numFmt w:val="decimal"/>
      <w:isLgl/>
      <w:lvlText w:val="%1.%2.%3.%4"/>
      <w:lvlJc w:val="left"/>
      <w:pPr>
        <w:tabs>
          <w:tab w:val="num" w:pos="1350"/>
        </w:tabs>
        <w:ind w:left="1350" w:hanging="720"/>
      </w:pPr>
    </w:lvl>
    <w:lvl w:ilvl="4">
      <w:start w:val="1"/>
      <w:numFmt w:val="decimal"/>
      <w:isLgl/>
      <w:lvlText w:val="%1.%2.%3.%4.%5"/>
      <w:lvlJc w:val="left"/>
      <w:pPr>
        <w:tabs>
          <w:tab w:val="num" w:pos="1732"/>
        </w:tabs>
        <w:ind w:left="1732" w:hanging="1080"/>
      </w:pPr>
    </w:lvl>
    <w:lvl w:ilvl="5">
      <w:start w:val="1"/>
      <w:numFmt w:val="decimal"/>
      <w:isLgl/>
      <w:lvlText w:val="%1.%2.%3.%4.%5.%6"/>
      <w:lvlJc w:val="left"/>
      <w:pPr>
        <w:tabs>
          <w:tab w:val="num" w:pos="1754"/>
        </w:tabs>
        <w:ind w:left="1754" w:hanging="1080"/>
      </w:pPr>
    </w:lvl>
    <w:lvl w:ilvl="6">
      <w:start w:val="1"/>
      <w:numFmt w:val="decimal"/>
      <w:isLgl/>
      <w:lvlText w:val="%1.%2.%3.%4.%5.%6.%7"/>
      <w:lvlJc w:val="left"/>
      <w:pPr>
        <w:tabs>
          <w:tab w:val="num" w:pos="2136"/>
        </w:tabs>
        <w:ind w:left="2136" w:hanging="1440"/>
      </w:pPr>
    </w:lvl>
    <w:lvl w:ilvl="7">
      <w:start w:val="1"/>
      <w:numFmt w:val="decimal"/>
      <w:isLgl/>
      <w:lvlText w:val="%1.%2.%3.%4.%5.%6.%7.%8"/>
      <w:lvlJc w:val="left"/>
      <w:pPr>
        <w:tabs>
          <w:tab w:val="num" w:pos="2158"/>
        </w:tabs>
        <w:ind w:left="2158" w:hanging="1440"/>
      </w:pPr>
    </w:lvl>
    <w:lvl w:ilvl="8">
      <w:start w:val="1"/>
      <w:numFmt w:val="decimal"/>
      <w:isLgl/>
      <w:lvlText w:val="%1.%2.%3.%4.%5.%6.%7.%8.%9"/>
      <w:lvlJc w:val="left"/>
      <w:pPr>
        <w:tabs>
          <w:tab w:val="num" w:pos="2540"/>
        </w:tabs>
        <w:ind w:left="2540" w:hanging="1800"/>
      </w:pPr>
    </w:lvl>
  </w:abstractNum>
  <w:abstractNum w:abstractNumId="3" w15:restartNumberingAfterBreak="0">
    <w:nsid w:val="5E727E8D"/>
    <w:multiLevelType w:val="hybridMultilevel"/>
    <w:tmpl w:val="17BA7F16"/>
    <w:lvl w:ilvl="0" w:tplc="8B9A258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47A678F"/>
    <w:multiLevelType w:val="hybridMultilevel"/>
    <w:tmpl w:val="DEDC46B6"/>
    <w:lvl w:ilvl="0" w:tplc="ED1E4F20">
      <w:numFmt w:val="bullet"/>
      <w:pStyle w:val="StichpunkteunterStandard"/>
      <w:lvlText w:val="-"/>
      <w:lvlJc w:val="left"/>
      <w:pPr>
        <w:tabs>
          <w:tab w:val="num" w:pos="1220"/>
        </w:tabs>
        <w:ind w:left="1220" w:hanging="227"/>
      </w:pPr>
      <w:rPr>
        <w:rFonts w:ascii="Arial" w:eastAsia="Times New Roman" w:hAnsi="Arial" w:cs="Times New Roman" w:hint="default"/>
      </w:rPr>
    </w:lvl>
    <w:lvl w:ilvl="1" w:tplc="92F082FA">
      <w:start w:val="5"/>
      <w:numFmt w:val="bullet"/>
      <w:lvlText w:val="-"/>
      <w:lvlJc w:val="left"/>
      <w:pPr>
        <w:tabs>
          <w:tab w:val="num" w:pos="1440"/>
        </w:tabs>
        <w:ind w:left="1440" w:hanging="360"/>
      </w:pPr>
      <w:rPr>
        <w:rFonts w:ascii="Arial" w:eastAsia="Times New Roman" w:hAnsi="Arial" w:cs="Arial"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E5329F6"/>
    <w:multiLevelType w:val="hybridMultilevel"/>
    <w:tmpl w:val="EDBCC78E"/>
    <w:lvl w:ilvl="0" w:tplc="EC58AAD2">
      <w:start w:val="1"/>
      <w:numFmt w:val="bullet"/>
      <w:lvlText w:val=""/>
      <w:lvlJc w:val="left"/>
      <w:pPr>
        <w:tabs>
          <w:tab w:val="num" w:pos="1004"/>
        </w:tabs>
        <w:ind w:left="1004" w:hanging="360"/>
      </w:pPr>
      <w:rPr>
        <w:rFonts w:ascii="Symbol" w:hAnsi="Symbol" w:hint="default"/>
      </w:rPr>
    </w:lvl>
    <w:lvl w:ilvl="1" w:tplc="0407000F">
      <w:start w:val="1"/>
      <w:numFmt w:val="decimal"/>
      <w:lvlText w:val="%2."/>
      <w:lvlJc w:val="left"/>
      <w:pPr>
        <w:tabs>
          <w:tab w:val="num" w:pos="1724"/>
        </w:tabs>
        <w:ind w:left="1724" w:hanging="360"/>
      </w:pPr>
      <w:rPr>
        <w:rFonts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6" w15:restartNumberingAfterBreak="0">
    <w:nsid w:val="764E655A"/>
    <w:multiLevelType w:val="multilevel"/>
    <w:tmpl w:val="F488B8A2"/>
    <w:lvl w:ilvl="0">
      <w:start w:val="3"/>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 w:numId="3">
    <w:abstractNumId w:val="5"/>
  </w:num>
  <w:num w:numId="4">
    <w:abstractNumId w:val="2"/>
    <w:lvlOverride w:ilvl="0">
      <w:startOverride w:val="1"/>
    </w:lvlOverride>
    <w:lvlOverride w:ilvl="1">
      <w:startOverride w:val="1"/>
    </w:lvlOverride>
    <w:lvlOverride w:ilvl="2">
      <w:startOverride w:val="3"/>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bSTxjBgsfGWo/c1sosNJJZDpHr9fvwla40hC4FA9wLA/jpXDDjBhcvBnSqvDawBJDyL5bGT5iDowvLZypEFQg==" w:salt="wzxeKdMLumW0NpKSKzjHsA=="/>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A9A"/>
    <w:rsid w:val="000132C8"/>
    <w:rsid w:val="00016B19"/>
    <w:rsid w:val="00017B60"/>
    <w:rsid w:val="00024D2A"/>
    <w:rsid w:val="00030C3E"/>
    <w:rsid w:val="000352CA"/>
    <w:rsid w:val="0004315D"/>
    <w:rsid w:val="00051146"/>
    <w:rsid w:val="00060160"/>
    <w:rsid w:val="00063962"/>
    <w:rsid w:val="00075311"/>
    <w:rsid w:val="000815AE"/>
    <w:rsid w:val="00086EE7"/>
    <w:rsid w:val="000901DC"/>
    <w:rsid w:val="00091EF2"/>
    <w:rsid w:val="00092B9D"/>
    <w:rsid w:val="00095ED0"/>
    <w:rsid w:val="000975CF"/>
    <w:rsid w:val="000A35CC"/>
    <w:rsid w:val="000A5108"/>
    <w:rsid w:val="000B33B5"/>
    <w:rsid w:val="000B5DDF"/>
    <w:rsid w:val="000C4C8C"/>
    <w:rsid w:val="000C77C3"/>
    <w:rsid w:val="000D756B"/>
    <w:rsid w:val="000E3FF9"/>
    <w:rsid w:val="000E60D8"/>
    <w:rsid w:val="000F076C"/>
    <w:rsid w:val="000F1DDC"/>
    <w:rsid w:val="000F2ED8"/>
    <w:rsid w:val="00100586"/>
    <w:rsid w:val="00102688"/>
    <w:rsid w:val="00106B61"/>
    <w:rsid w:val="00107296"/>
    <w:rsid w:val="00110406"/>
    <w:rsid w:val="0011237F"/>
    <w:rsid w:val="001132C0"/>
    <w:rsid w:val="00117228"/>
    <w:rsid w:val="00120952"/>
    <w:rsid w:val="00122B8C"/>
    <w:rsid w:val="00137532"/>
    <w:rsid w:val="00137F85"/>
    <w:rsid w:val="0015045F"/>
    <w:rsid w:val="00152E45"/>
    <w:rsid w:val="001543CB"/>
    <w:rsid w:val="001626E9"/>
    <w:rsid w:val="00162A35"/>
    <w:rsid w:val="00163A2D"/>
    <w:rsid w:val="00166473"/>
    <w:rsid w:val="00173C6D"/>
    <w:rsid w:val="00175510"/>
    <w:rsid w:val="00176155"/>
    <w:rsid w:val="00177947"/>
    <w:rsid w:val="00180613"/>
    <w:rsid w:val="001859FD"/>
    <w:rsid w:val="00186C3C"/>
    <w:rsid w:val="001936B6"/>
    <w:rsid w:val="00195D6C"/>
    <w:rsid w:val="001A3053"/>
    <w:rsid w:val="001B1B87"/>
    <w:rsid w:val="001B22C2"/>
    <w:rsid w:val="001B280C"/>
    <w:rsid w:val="001B411D"/>
    <w:rsid w:val="001B7CD6"/>
    <w:rsid w:val="001C240C"/>
    <w:rsid w:val="001C6A96"/>
    <w:rsid w:val="001D0E7D"/>
    <w:rsid w:val="001D2D0D"/>
    <w:rsid w:val="001D5874"/>
    <w:rsid w:val="001D7E86"/>
    <w:rsid w:val="001E092B"/>
    <w:rsid w:val="001F0CB6"/>
    <w:rsid w:val="001F1317"/>
    <w:rsid w:val="001F1C81"/>
    <w:rsid w:val="001F49F2"/>
    <w:rsid w:val="001F4BFA"/>
    <w:rsid w:val="00206294"/>
    <w:rsid w:val="00212136"/>
    <w:rsid w:val="00216EE9"/>
    <w:rsid w:val="00217624"/>
    <w:rsid w:val="00222056"/>
    <w:rsid w:val="00222249"/>
    <w:rsid w:val="00223147"/>
    <w:rsid w:val="002336E2"/>
    <w:rsid w:val="00234E20"/>
    <w:rsid w:val="00242CDA"/>
    <w:rsid w:val="00244B1F"/>
    <w:rsid w:val="0025146D"/>
    <w:rsid w:val="00252945"/>
    <w:rsid w:val="00253437"/>
    <w:rsid w:val="00253D91"/>
    <w:rsid w:val="002564D7"/>
    <w:rsid w:val="00260349"/>
    <w:rsid w:val="00263DE9"/>
    <w:rsid w:val="00280E6B"/>
    <w:rsid w:val="0028106B"/>
    <w:rsid w:val="002925CD"/>
    <w:rsid w:val="00292735"/>
    <w:rsid w:val="0029498A"/>
    <w:rsid w:val="002A16AD"/>
    <w:rsid w:val="002A4AA0"/>
    <w:rsid w:val="002A601C"/>
    <w:rsid w:val="002A7A9D"/>
    <w:rsid w:val="002B2AD9"/>
    <w:rsid w:val="002B35F5"/>
    <w:rsid w:val="002B5928"/>
    <w:rsid w:val="002B7CE5"/>
    <w:rsid w:val="002C16B5"/>
    <w:rsid w:val="002C3D08"/>
    <w:rsid w:val="002D3032"/>
    <w:rsid w:val="002D4D5E"/>
    <w:rsid w:val="002D7B8A"/>
    <w:rsid w:val="002E6E57"/>
    <w:rsid w:val="002F0295"/>
    <w:rsid w:val="002F4983"/>
    <w:rsid w:val="003115E3"/>
    <w:rsid w:val="00323916"/>
    <w:rsid w:val="003308F4"/>
    <w:rsid w:val="003363F0"/>
    <w:rsid w:val="00342C0D"/>
    <w:rsid w:val="00346F3E"/>
    <w:rsid w:val="00356883"/>
    <w:rsid w:val="003650F1"/>
    <w:rsid w:val="00366580"/>
    <w:rsid w:val="003819D5"/>
    <w:rsid w:val="0038204A"/>
    <w:rsid w:val="00386DE2"/>
    <w:rsid w:val="00393645"/>
    <w:rsid w:val="00395C95"/>
    <w:rsid w:val="003A166F"/>
    <w:rsid w:val="003A2F45"/>
    <w:rsid w:val="003B4142"/>
    <w:rsid w:val="003B54CB"/>
    <w:rsid w:val="003B5D37"/>
    <w:rsid w:val="003B6A2A"/>
    <w:rsid w:val="003C19D9"/>
    <w:rsid w:val="003C25A8"/>
    <w:rsid w:val="003C52D6"/>
    <w:rsid w:val="003C65A0"/>
    <w:rsid w:val="003C7B10"/>
    <w:rsid w:val="003D1E9B"/>
    <w:rsid w:val="003D7EA2"/>
    <w:rsid w:val="003E6A03"/>
    <w:rsid w:val="003F0EF7"/>
    <w:rsid w:val="003F4380"/>
    <w:rsid w:val="003F6B9B"/>
    <w:rsid w:val="00402279"/>
    <w:rsid w:val="00411A3E"/>
    <w:rsid w:val="00412AF5"/>
    <w:rsid w:val="00417181"/>
    <w:rsid w:val="00417B32"/>
    <w:rsid w:val="00420871"/>
    <w:rsid w:val="00420EB7"/>
    <w:rsid w:val="004245E8"/>
    <w:rsid w:val="00427985"/>
    <w:rsid w:val="00430F88"/>
    <w:rsid w:val="00431BD6"/>
    <w:rsid w:val="004356C5"/>
    <w:rsid w:val="00441033"/>
    <w:rsid w:val="00446754"/>
    <w:rsid w:val="00453C6F"/>
    <w:rsid w:val="00454A69"/>
    <w:rsid w:val="00462B7E"/>
    <w:rsid w:val="0046349E"/>
    <w:rsid w:val="004653F1"/>
    <w:rsid w:val="00466253"/>
    <w:rsid w:val="004726E2"/>
    <w:rsid w:val="004735CF"/>
    <w:rsid w:val="00476468"/>
    <w:rsid w:val="0047736A"/>
    <w:rsid w:val="0048398F"/>
    <w:rsid w:val="0048419F"/>
    <w:rsid w:val="00491165"/>
    <w:rsid w:val="004A069E"/>
    <w:rsid w:val="004B0385"/>
    <w:rsid w:val="004B7350"/>
    <w:rsid w:val="004C33C1"/>
    <w:rsid w:val="004D1C64"/>
    <w:rsid w:val="004D6F3B"/>
    <w:rsid w:val="004E27D6"/>
    <w:rsid w:val="004F5803"/>
    <w:rsid w:val="005008C6"/>
    <w:rsid w:val="005036C2"/>
    <w:rsid w:val="00515663"/>
    <w:rsid w:val="005241F4"/>
    <w:rsid w:val="0052612C"/>
    <w:rsid w:val="005302FF"/>
    <w:rsid w:val="005306F2"/>
    <w:rsid w:val="00545156"/>
    <w:rsid w:val="00551731"/>
    <w:rsid w:val="00551975"/>
    <w:rsid w:val="005549AA"/>
    <w:rsid w:val="00567DA5"/>
    <w:rsid w:val="005719B8"/>
    <w:rsid w:val="005730E7"/>
    <w:rsid w:val="00574FD4"/>
    <w:rsid w:val="005766C4"/>
    <w:rsid w:val="00583823"/>
    <w:rsid w:val="00590EB0"/>
    <w:rsid w:val="00592A1A"/>
    <w:rsid w:val="00595747"/>
    <w:rsid w:val="005A1FB4"/>
    <w:rsid w:val="005A428B"/>
    <w:rsid w:val="005B6CEC"/>
    <w:rsid w:val="005B780C"/>
    <w:rsid w:val="005D153F"/>
    <w:rsid w:val="005F0B28"/>
    <w:rsid w:val="00603CCD"/>
    <w:rsid w:val="00613664"/>
    <w:rsid w:val="00613C48"/>
    <w:rsid w:val="0061661C"/>
    <w:rsid w:val="00616C85"/>
    <w:rsid w:val="006170CD"/>
    <w:rsid w:val="00620E73"/>
    <w:rsid w:val="00622C1D"/>
    <w:rsid w:val="00625078"/>
    <w:rsid w:val="00625C5A"/>
    <w:rsid w:val="0063016E"/>
    <w:rsid w:val="00632849"/>
    <w:rsid w:val="0064216F"/>
    <w:rsid w:val="00646439"/>
    <w:rsid w:val="00647796"/>
    <w:rsid w:val="00651275"/>
    <w:rsid w:val="006514BD"/>
    <w:rsid w:val="0065376C"/>
    <w:rsid w:val="00653971"/>
    <w:rsid w:val="0065461A"/>
    <w:rsid w:val="006611E1"/>
    <w:rsid w:val="006642F1"/>
    <w:rsid w:val="00664944"/>
    <w:rsid w:val="00666CD7"/>
    <w:rsid w:val="0067147C"/>
    <w:rsid w:val="00673A51"/>
    <w:rsid w:val="00673AB7"/>
    <w:rsid w:val="006750F1"/>
    <w:rsid w:val="006775DF"/>
    <w:rsid w:val="00677997"/>
    <w:rsid w:val="00683BBD"/>
    <w:rsid w:val="00683CCB"/>
    <w:rsid w:val="00683E1D"/>
    <w:rsid w:val="006943AD"/>
    <w:rsid w:val="00694F3F"/>
    <w:rsid w:val="006956B7"/>
    <w:rsid w:val="0069581A"/>
    <w:rsid w:val="006A0409"/>
    <w:rsid w:val="006A0662"/>
    <w:rsid w:val="006A2576"/>
    <w:rsid w:val="006A4FB3"/>
    <w:rsid w:val="006A5034"/>
    <w:rsid w:val="006A742D"/>
    <w:rsid w:val="006B0DB7"/>
    <w:rsid w:val="006B22F5"/>
    <w:rsid w:val="006C65A9"/>
    <w:rsid w:val="006D1381"/>
    <w:rsid w:val="006D3F49"/>
    <w:rsid w:val="006E0B1F"/>
    <w:rsid w:val="006E19F4"/>
    <w:rsid w:val="006E2CDA"/>
    <w:rsid w:val="006E4D0A"/>
    <w:rsid w:val="006E7D8F"/>
    <w:rsid w:val="006F52E9"/>
    <w:rsid w:val="006F7CD1"/>
    <w:rsid w:val="00705AE5"/>
    <w:rsid w:val="00705FDD"/>
    <w:rsid w:val="00706DAA"/>
    <w:rsid w:val="007070BE"/>
    <w:rsid w:val="00710360"/>
    <w:rsid w:val="00714917"/>
    <w:rsid w:val="007154D7"/>
    <w:rsid w:val="00721712"/>
    <w:rsid w:val="007315EB"/>
    <w:rsid w:val="00736B60"/>
    <w:rsid w:val="007371BC"/>
    <w:rsid w:val="007379F7"/>
    <w:rsid w:val="00740A9A"/>
    <w:rsid w:val="00743D7B"/>
    <w:rsid w:val="00744DAB"/>
    <w:rsid w:val="00751A89"/>
    <w:rsid w:val="00752BEA"/>
    <w:rsid w:val="00753353"/>
    <w:rsid w:val="00755C9E"/>
    <w:rsid w:val="0075605F"/>
    <w:rsid w:val="00756B94"/>
    <w:rsid w:val="00756EE3"/>
    <w:rsid w:val="00763DAE"/>
    <w:rsid w:val="007679EF"/>
    <w:rsid w:val="00774667"/>
    <w:rsid w:val="00781100"/>
    <w:rsid w:val="00781FD3"/>
    <w:rsid w:val="007831B8"/>
    <w:rsid w:val="007937A2"/>
    <w:rsid w:val="0079383C"/>
    <w:rsid w:val="007A0DE8"/>
    <w:rsid w:val="007A2BFC"/>
    <w:rsid w:val="007A6A1B"/>
    <w:rsid w:val="007A6F74"/>
    <w:rsid w:val="007A7D6A"/>
    <w:rsid w:val="007B383A"/>
    <w:rsid w:val="007B500D"/>
    <w:rsid w:val="007B69EB"/>
    <w:rsid w:val="007C60EA"/>
    <w:rsid w:val="007C7A26"/>
    <w:rsid w:val="007D2CA4"/>
    <w:rsid w:val="007D44E9"/>
    <w:rsid w:val="007D565C"/>
    <w:rsid w:val="007E2453"/>
    <w:rsid w:val="007E7FC4"/>
    <w:rsid w:val="007F32F2"/>
    <w:rsid w:val="007F58CD"/>
    <w:rsid w:val="00817F21"/>
    <w:rsid w:val="00821520"/>
    <w:rsid w:val="0082198C"/>
    <w:rsid w:val="00826E90"/>
    <w:rsid w:val="008270C8"/>
    <w:rsid w:val="008308CC"/>
    <w:rsid w:val="00833DF3"/>
    <w:rsid w:val="00834019"/>
    <w:rsid w:val="008346F8"/>
    <w:rsid w:val="008373C2"/>
    <w:rsid w:val="008411EC"/>
    <w:rsid w:val="00843FDD"/>
    <w:rsid w:val="00844A4D"/>
    <w:rsid w:val="00844CA9"/>
    <w:rsid w:val="00862A06"/>
    <w:rsid w:val="0086718F"/>
    <w:rsid w:val="00877E78"/>
    <w:rsid w:val="00884374"/>
    <w:rsid w:val="008867B6"/>
    <w:rsid w:val="00887087"/>
    <w:rsid w:val="00887DE9"/>
    <w:rsid w:val="00897895"/>
    <w:rsid w:val="008A5DF8"/>
    <w:rsid w:val="008C76FE"/>
    <w:rsid w:val="008D0AE5"/>
    <w:rsid w:val="008F1BFA"/>
    <w:rsid w:val="008F6F65"/>
    <w:rsid w:val="00902157"/>
    <w:rsid w:val="00913B10"/>
    <w:rsid w:val="0091494D"/>
    <w:rsid w:val="00914BCF"/>
    <w:rsid w:val="0092566D"/>
    <w:rsid w:val="00930101"/>
    <w:rsid w:val="0093366D"/>
    <w:rsid w:val="00936966"/>
    <w:rsid w:val="00940D1E"/>
    <w:rsid w:val="009500F7"/>
    <w:rsid w:val="00950A71"/>
    <w:rsid w:val="0095269F"/>
    <w:rsid w:val="00960123"/>
    <w:rsid w:val="00965E33"/>
    <w:rsid w:val="0097008F"/>
    <w:rsid w:val="00971652"/>
    <w:rsid w:val="00987E0D"/>
    <w:rsid w:val="0099124D"/>
    <w:rsid w:val="0099615A"/>
    <w:rsid w:val="009A01C2"/>
    <w:rsid w:val="009A0D3E"/>
    <w:rsid w:val="009A29B3"/>
    <w:rsid w:val="009A798E"/>
    <w:rsid w:val="009A7EF1"/>
    <w:rsid w:val="009B22DD"/>
    <w:rsid w:val="009B316C"/>
    <w:rsid w:val="009B4DB4"/>
    <w:rsid w:val="009C3F40"/>
    <w:rsid w:val="009D14C6"/>
    <w:rsid w:val="009D3163"/>
    <w:rsid w:val="009D4A60"/>
    <w:rsid w:val="009D50B6"/>
    <w:rsid w:val="009D5E2B"/>
    <w:rsid w:val="009E009D"/>
    <w:rsid w:val="009E2A5D"/>
    <w:rsid w:val="009E5B1B"/>
    <w:rsid w:val="009F3E3E"/>
    <w:rsid w:val="00A06BF6"/>
    <w:rsid w:val="00A24528"/>
    <w:rsid w:val="00A2646C"/>
    <w:rsid w:val="00A33AE6"/>
    <w:rsid w:val="00A37795"/>
    <w:rsid w:val="00A42604"/>
    <w:rsid w:val="00A426AA"/>
    <w:rsid w:val="00A458F0"/>
    <w:rsid w:val="00A640CF"/>
    <w:rsid w:val="00A6713D"/>
    <w:rsid w:val="00A7066C"/>
    <w:rsid w:val="00A7279D"/>
    <w:rsid w:val="00A77910"/>
    <w:rsid w:val="00A8375C"/>
    <w:rsid w:val="00A87395"/>
    <w:rsid w:val="00A87CA4"/>
    <w:rsid w:val="00A911BC"/>
    <w:rsid w:val="00A92490"/>
    <w:rsid w:val="00A94B3B"/>
    <w:rsid w:val="00A94F8F"/>
    <w:rsid w:val="00A9551A"/>
    <w:rsid w:val="00A95F84"/>
    <w:rsid w:val="00A96757"/>
    <w:rsid w:val="00A967CA"/>
    <w:rsid w:val="00AC31DF"/>
    <w:rsid w:val="00AC323B"/>
    <w:rsid w:val="00AC6C3C"/>
    <w:rsid w:val="00AD31E3"/>
    <w:rsid w:val="00AD4C53"/>
    <w:rsid w:val="00AD5899"/>
    <w:rsid w:val="00AE0FC4"/>
    <w:rsid w:val="00AE3870"/>
    <w:rsid w:val="00AE523F"/>
    <w:rsid w:val="00AE730B"/>
    <w:rsid w:val="00AF7935"/>
    <w:rsid w:val="00B01DED"/>
    <w:rsid w:val="00B02395"/>
    <w:rsid w:val="00B04458"/>
    <w:rsid w:val="00B058F9"/>
    <w:rsid w:val="00B06288"/>
    <w:rsid w:val="00B13E12"/>
    <w:rsid w:val="00B211A8"/>
    <w:rsid w:val="00B33C5E"/>
    <w:rsid w:val="00B43D72"/>
    <w:rsid w:val="00B443D7"/>
    <w:rsid w:val="00B44D11"/>
    <w:rsid w:val="00B53E47"/>
    <w:rsid w:val="00B54BD1"/>
    <w:rsid w:val="00B563C5"/>
    <w:rsid w:val="00B81EDB"/>
    <w:rsid w:val="00B859A5"/>
    <w:rsid w:val="00B8629D"/>
    <w:rsid w:val="00B92872"/>
    <w:rsid w:val="00B95846"/>
    <w:rsid w:val="00BA22FC"/>
    <w:rsid w:val="00BA2F4D"/>
    <w:rsid w:val="00BA43C4"/>
    <w:rsid w:val="00BB05C8"/>
    <w:rsid w:val="00BB2810"/>
    <w:rsid w:val="00BB4E6B"/>
    <w:rsid w:val="00BC39E5"/>
    <w:rsid w:val="00BE325B"/>
    <w:rsid w:val="00BE4DF1"/>
    <w:rsid w:val="00BE6292"/>
    <w:rsid w:val="00BE6E59"/>
    <w:rsid w:val="00BF20AF"/>
    <w:rsid w:val="00C00462"/>
    <w:rsid w:val="00C006A2"/>
    <w:rsid w:val="00C02D50"/>
    <w:rsid w:val="00C055E6"/>
    <w:rsid w:val="00C05FBC"/>
    <w:rsid w:val="00C118FA"/>
    <w:rsid w:val="00C15968"/>
    <w:rsid w:val="00C26639"/>
    <w:rsid w:val="00C268FE"/>
    <w:rsid w:val="00C26994"/>
    <w:rsid w:val="00C27BB8"/>
    <w:rsid w:val="00C31691"/>
    <w:rsid w:val="00C344D9"/>
    <w:rsid w:val="00C414F3"/>
    <w:rsid w:val="00C4316F"/>
    <w:rsid w:val="00C433C6"/>
    <w:rsid w:val="00C44F73"/>
    <w:rsid w:val="00C52039"/>
    <w:rsid w:val="00C5216A"/>
    <w:rsid w:val="00C53FD9"/>
    <w:rsid w:val="00C546B6"/>
    <w:rsid w:val="00C55637"/>
    <w:rsid w:val="00C6025C"/>
    <w:rsid w:val="00C62AF9"/>
    <w:rsid w:val="00C63B5B"/>
    <w:rsid w:val="00C65D71"/>
    <w:rsid w:val="00C7072D"/>
    <w:rsid w:val="00C72DDA"/>
    <w:rsid w:val="00C74469"/>
    <w:rsid w:val="00C7561C"/>
    <w:rsid w:val="00C80A7F"/>
    <w:rsid w:val="00C83E68"/>
    <w:rsid w:val="00C8555C"/>
    <w:rsid w:val="00C866B2"/>
    <w:rsid w:val="00C87CA5"/>
    <w:rsid w:val="00C91C92"/>
    <w:rsid w:val="00C92D58"/>
    <w:rsid w:val="00C93151"/>
    <w:rsid w:val="00C9591E"/>
    <w:rsid w:val="00CA0749"/>
    <w:rsid w:val="00CA0813"/>
    <w:rsid w:val="00CA3713"/>
    <w:rsid w:val="00CA4670"/>
    <w:rsid w:val="00CA5A43"/>
    <w:rsid w:val="00CB460C"/>
    <w:rsid w:val="00CB58C8"/>
    <w:rsid w:val="00CB7389"/>
    <w:rsid w:val="00CC3571"/>
    <w:rsid w:val="00CD2249"/>
    <w:rsid w:val="00CD4013"/>
    <w:rsid w:val="00CD5B6E"/>
    <w:rsid w:val="00CD6552"/>
    <w:rsid w:val="00CD6C83"/>
    <w:rsid w:val="00CE4801"/>
    <w:rsid w:val="00CE7745"/>
    <w:rsid w:val="00CF1452"/>
    <w:rsid w:val="00CF4A43"/>
    <w:rsid w:val="00CF7AE6"/>
    <w:rsid w:val="00D1067E"/>
    <w:rsid w:val="00D108F9"/>
    <w:rsid w:val="00D132C1"/>
    <w:rsid w:val="00D23D1C"/>
    <w:rsid w:val="00D27373"/>
    <w:rsid w:val="00D27B4A"/>
    <w:rsid w:val="00D3062A"/>
    <w:rsid w:val="00D31494"/>
    <w:rsid w:val="00D41772"/>
    <w:rsid w:val="00D41A9A"/>
    <w:rsid w:val="00D51C94"/>
    <w:rsid w:val="00D55751"/>
    <w:rsid w:val="00D62242"/>
    <w:rsid w:val="00D652F0"/>
    <w:rsid w:val="00D66379"/>
    <w:rsid w:val="00D7666D"/>
    <w:rsid w:val="00D82022"/>
    <w:rsid w:val="00D85D37"/>
    <w:rsid w:val="00D91462"/>
    <w:rsid w:val="00D91F60"/>
    <w:rsid w:val="00D946E7"/>
    <w:rsid w:val="00D94B4A"/>
    <w:rsid w:val="00DA2410"/>
    <w:rsid w:val="00DA2FE9"/>
    <w:rsid w:val="00DA57E9"/>
    <w:rsid w:val="00DA5F68"/>
    <w:rsid w:val="00DB18E8"/>
    <w:rsid w:val="00DB6C73"/>
    <w:rsid w:val="00DC405B"/>
    <w:rsid w:val="00DE2536"/>
    <w:rsid w:val="00DF2E1C"/>
    <w:rsid w:val="00E03F59"/>
    <w:rsid w:val="00E07302"/>
    <w:rsid w:val="00E17E2F"/>
    <w:rsid w:val="00E23BD4"/>
    <w:rsid w:val="00E43492"/>
    <w:rsid w:val="00E522DF"/>
    <w:rsid w:val="00E55DED"/>
    <w:rsid w:val="00E567BC"/>
    <w:rsid w:val="00E72BFC"/>
    <w:rsid w:val="00E73F58"/>
    <w:rsid w:val="00E75CEB"/>
    <w:rsid w:val="00E95B15"/>
    <w:rsid w:val="00EA0206"/>
    <w:rsid w:val="00EA0DB5"/>
    <w:rsid w:val="00EA0F36"/>
    <w:rsid w:val="00EA5CEF"/>
    <w:rsid w:val="00EB1D78"/>
    <w:rsid w:val="00EB5C53"/>
    <w:rsid w:val="00EC2661"/>
    <w:rsid w:val="00EC4191"/>
    <w:rsid w:val="00EC538A"/>
    <w:rsid w:val="00EC5EE2"/>
    <w:rsid w:val="00ED2B5B"/>
    <w:rsid w:val="00ED2DE9"/>
    <w:rsid w:val="00ED5468"/>
    <w:rsid w:val="00EF0A16"/>
    <w:rsid w:val="00EF52BC"/>
    <w:rsid w:val="00F005DB"/>
    <w:rsid w:val="00F03436"/>
    <w:rsid w:val="00F047A7"/>
    <w:rsid w:val="00F050CB"/>
    <w:rsid w:val="00F07FBA"/>
    <w:rsid w:val="00F1052F"/>
    <w:rsid w:val="00F105EF"/>
    <w:rsid w:val="00F120F6"/>
    <w:rsid w:val="00F20E22"/>
    <w:rsid w:val="00F21CB8"/>
    <w:rsid w:val="00F25B26"/>
    <w:rsid w:val="00F30ED0"/>
    <w:rsid w:val="00F3326F"/>
    <w:rsid w:val="00F345AE"/>
    <w:rsid w:val="00F42B84"/>
    <w:rsid w:val="00F473A3"/>
    <w:rsid w:val="00F50CFE"/>
    <w:rsid w:val="00F523A6"/>
    <w:rsid w:val="00F55A11"/>
    <w:rsid w:val="00F730FA"/>
    <w:rsid w:val="00F80D83"/>
    <w:rsid w:val="00F82F84"/>
    <w:rsid w:val="00F84BB6"/>
    <w:rsid w:val="00F8633C"/>
    <w:rsid w:val="00F869AB"/>
    <w:rsid w:val="00F93CAE"/>
    <w:rsid w:val="00FA3000"/>
    <w:rsid w:val="00FA725F"/>
    <w:rsid w:val="00FB5C20"/>
    <w:rsid w:val="00FB63F7"/>
    <w:rsid w:val="00FB64B8"/>
    <w:rsid w:val="00FB66B7"/>
    <w:rsid w:val="00FC340E"/>
    <w:rsid w:val="00FC63D5"/>
    <w:rsid w:val="00FC6651"/>
    <w:rsid w:val="00FD3854"/>
    <w:rsid w:val="00FD4E3E"/>
    <w:rsid w:val="00FF0112"/>
    <w:rsid w:val="00FF09A2"/>
    <w:rsid w:val="00FF0C7F"/>
    <w:rsid w:val="00FF187D"/>
    <w:rsid w:val="00FF2127"/>
    <w:rsid w:val="00FF3A2B"/>
    <w:rsid w:val="00FF4489"/>
    <w:rsid w:val="00FF48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2998D0"/>
  <w15:docId w15:val="{C46D94C1-9F6A-4151-A2D9-9CB088877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74667"/>
    <w:pPr>
      <w:overflowPunct w:val="0"/>
      <w:autoSpaceDE w:val="0"/>
      <w:autoSpaceDN w:val="0"/>
      <w:adjustRightInd w:val="0"/>
      <w:textAlignment w:val="baseline"/>
    </w:pPr>
  </w:style>
  <w:style w:type="paragraph" w:styleId="berschrift1">
    <w:name w:val="heading 1"/>
    <w:basedOn w:val="Standard"/>
    <w:next w:val="Standard"/>
    <w:qFormat/>
    <w:rsid w:val="002A7A9D"/>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D41A9A"/>
    <w:pPr>
      <w:keepNext/>
      <w:spacing w:before="240" w:after="60"/>
      <w:outlineLvl w:val="1"/>
    </w:pPr>
    <w:rPr>
      <w:rFonts w:cs="Arial"/>
      <w:b/>
      <w:bCs/>
      <w:iCs/>
      <w:sz w:val="32"/>
      <w:szCs w:val="28"/>
    </w:rPr>
  </w:style>
  <w:style w:type="paragraph" w:styleId="berschrift3">
    <w:name w:val="heading 3"/>
    <w:basedOn w:val="Standard"/>
    <w:next w:val="Standard"/>
    <w:qFormat/>
    <w:rsid w:val="002A7A9D"/>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C866B2"/>
    <w:pPr>
      <w:keepNext/>
      <w:spacing w:before="240" w:after="60"/>
      <w:outlineLvl w:val="3"/>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rsid w:val="00D41A9A"/>
    <w:rPr>
      <w:b/>
      <w:sz w:val="48"/>
    </w:rPr>
  </w:style>
  <w:style w:type="paragraph" w:customStyle="1" w:styleId="Formatvorlage2">
    <w:name w:val="Formatvorlage2"/>
    <w:basedOn w:val="berschrift3"/>
    <w:rsid w:val="002A7A9D"/>
    <w:pPr>
      <w:spacing w:before="0" w:after="0" w:line="360" w:lineRule="auto"/>
      <w:ind w:left="1416"/>
    </w:pPr>
    <w:rPr>
      <w:sz w:val="22"/>
    </w:rPr>
  </w:style>
  <w:style w:type="paragraph" w:customStyle="1" w:styleId="Formatvorlage3">
    <w:name w:val="Formatvorlage3"/>
    <w:basedOn w:val="berschrift2"/>
    <w:rsid w:val="002A7A9D"/>
    <w:pPr>
      <w:spacing w:before="0" w:after="0" w:line="360" w:lineRule="auto"/>
      <w:ind w:left="708"/>
    </w:pPr>
    <w:rPr>
      <w:sz w:val="22"/>
    </w:rPr>
  </w:style>
  <w:style w:type="paragraph" w:customStyle="1" w:styleId="Formatvorlage4">
    <w:name w:val="Formatvorlage4"/>
    <w:basedOn w:val="berschrift1"/>
    <w:rsid w:val="002A7A9D"/>
    <w:pPr>
      <w:spacing w:before="0" w:after="0" w:line="360" w:lineRule="auto"/>
    </w:pPr>
    <w:rPr>
      <w:sz w:val="22"/>
    </w:rPr>
  </w:style>
  <w:style w:type="paragraph" w:customStyle="1" w:styleId="Formatvorlage5">
    <w:name w:val="Formatvorlage5"/>
    <w:basedOn w:val="Standard"/>
    <w:rsid w:val="00137F85"/>
  </w:style>
  <w:style w:type="paragraph" w:customStyle="1" w:styleId="Formatvorlage1">
    <w:name w:val="Formatvorlage1"/>
    <w:basedOn w:val="berschrift1"/>
    <w:autoRedefine/>
    <w:rsid w:val="00A967CA"/>
    <w:pPr>
      <w:tabs>
        <w:tab w:val="left" w:pos="851"/>
      </w:tabs>
      <w:spacing w:line="360" w:lineRule="auto"/>
      <w:ind w:left="708"/>
    </w:pPr>
    <w:rPr>
      <w:sz w:val="22"/>
    </w:rPr>
  </w:style>
  <w:style w:type="paragraph" w:customStyle="1" w:styleId="Vergabegrundlage1">
    <w:name w:val="Vergabegrundlage1"/>
    <w:autoRedefine/>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rsid w:val="00C866B2"/>
    <w:pPr>
      <w:tabs>
        <w:tab w:val="left" w:pos="851"/>
      </w:tabs>
      <w:spacing w:before="0" w:after="0" w:line="360" w:lineRule="auto"/>
    </w:pPr>
    <w:rPr>
      <w:sz w:val="22"/>
      <w:szCs w:val="22"/>
    </w:rPr>
  </w:style>
  <w:style w:type="paragraph" w:styleId="Kopfzeile">
    <w:name w:val="header"/>
    <w:basedOn w:val="Standard"/>
    <w:rsid w:val="00774667"/>
    <w:pPr>
      <w:tabs>
        <w:tab w:val="center" w:pos="4536"/>
        <w:tab w:val="right" w:pos="9072"/>
      </w:tabs>
    </w:pPr>
  </w:style>
  <w:style w:type="paragraph" w:styleId="Fuzeile">
    <w:name w:val="footer"/>
    <w:basedOn w:val="Standard"/>
    <w:link w:val="FuzeileZchn"/>
    <w:rsid w:val="00774667"/>
    <w:pPr>
      <w:tabs>
        <w:tab w:val="center" w:pos="4536"/>
        <w:tab w:val="right" w:pos="9072"/>
      </w:tabs>
    </w:pPr>
  </w:style>
  <w:style w:type="character" w:styleId="Seitenzahl">
    <w:name w:val="page number"/>
    <w:basedOn w:val="Absatz-Standardschriftart"/>
    <w:rsid w:val="00774667"/>
  </w:style>
  <w:style w:type="paragraph" w:styleId="Sprechblasentext">
    <w:name w:val="Balloon Text"/>
    <w:basedOn w:val="Standard"/>
    <w:link w:val="SprechblasentextZchn"/>
    <w:uiPriority w:val="99"/>
    <w:semiHidden/>
    <w:unhideWhenUsed/>
    <w:rsid w:val="00C9315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93151"/>
    <w:rPr>
      <w:rFonts w:ascii="Tahoma" w:hAnsi="Tahoma" w:cs="Tahoma"/>
      <w:sz w:val="16"/>
      <w:szCs w:val="16"/>
    </w:rPr>
  </w:style>
  <w:style w:type="paragraph" w:styleId="Funotentext">
    <w:name w:val="footnote text"/>
    <w:basedOn w:val="Standard"/>
    <w:link w:val="FunotentextZchn"/>
    <w:semiHidden/>
    <w:rsid w:val="006E0B1F"/>
  </w:style>
  <w:style w:type="character" w:customStyle="1" w:styleId="FunotentextZchn">
    <w:name w:val="Fußnotentext Zchn"/>
    <w:basedOn w:val="Absatz-Standardschriftart"/>
    <w:link w:val="Funotentext"/>
    <w:semiHidden/>
    <w:rsid w:val="006E0B1F"/>
  </w:style>
  <w:style w:type="character" w:styleId="Funotenzeichen">
    <w:name w:val="footnote reference"/>
    <w:semiHidden/>
    <w:rsid w:val="006E0B1F"/>
    <w:rPr>
      <w:vertAlign w:val="superscript"/>
    </w:rPr>
  </w:style>
  <w:style w:type="character" w:customStyle="1" w:styleId="FuzeileZchn">
    <w:name w:val="Fußzeile Zchn"/>
    <w:link w:val="Fuzeile"/>
    <w:rsid w:val="006E0B1F"/>
  </w:style>
  <w:style w:type="character" w:styleId="Hyperlink">
    <w:name w:val="Hyperlink"/>
    <w:rsid w:val="006E0B1F"/>
    <w:rPr>
      <w:color w:val="0000FF"/>
      <w:u w:val="single"/>
    </w:rPr>
  </w:style>
  <w:style w:type="paragraph" w:customStyle="1" w:styleId="Nummerierung">
    <w:name w:val="Nummerierung"/>
    <w:basedOn w:val="Standard"/>
    <w:rsid w:val="006E0B1F"/>
    <w:pPr>
      <w:numPr>
        <w:numId w:val="4"/>
      </w:numPr>
      <w:tabs>
        <w:tab w:val="left" w:pos="1134"/>
      </w:tabs>
      <w:spacing w:line="360" w:lineRule="auto"/>
      <w:ind w:left="1134"/>
      <w:jc w:val="both"/>
      <w:textAlignment w:val="auto"/>
    </w:pPr>
    <w:rPr>
      <w:rFonts w:ascii="Arial" w:hAnsi="Arial" w:cs="Arial"/>
      <w:sz w:val="22"/>
    </w:rPr>
  </w:style>
  <w:style w:type="paragraph" w:customStyle="1" w:styleId="StichpunkteunterStandard">
    <w:name w:val="Stichpunkte unter Standard"/>
    <w:basedOn w:val="Standard"/>
    <w:rsid w:val="006E0B1F"/>
    <w:pPr>
      <w:numPr>
        <w:numId w:val="5"/>
      </w:numPr>
      <w:tabs>
        <w:tab w:val="left" w:pos="907"/>
      </w:tabs>
      <w:spacing w:line="360" w:lineRule="auto"/>
      <w:ind w:left="907" w:hanging="170"/>
      <w:textAlignment w:val="auto"/>
    </w:pPr>
    <w:rPr>
      <w:rFonts w:ascii="Arial" w:hAnsi="Arial"/>
      <w:sz w:val="22"/>
    </w:rPr>
  </w:style>
  <w:style w:type="paragraph" w:customStyle="1" w:styleId="StichpunkteunterNummerierung">
    <w:name w:val="Stichpunkte unter Nummerierung"/>
    <w:basedOn w:val="StichpunkteunterStandard"/>
    <w:next w:val="Nummerierung"/>
    <w:rsid w:val="006E0B1F"/>
    <w:pPr>
      <w:tabs>
        <w:tab w:val="clear" w:pos="907"/>
        <w:tab w:val="left" w:pos="1134"/>
      </w:tabs>
      <w:ind w:left="1474" w:hanging="340"/>
    </w:pPr>
  </w:style>
  <w:style w:type="paragraph" w:customStyle="1" w:styleId="Default">
    <w:name w:val="Default"/>
    <w:rsid w:val="006E0B1F"/>
    <w:pPr>
      <w:autoSpaceDE w:val="0"/>
      <w:autoSpaceDN w:val="0"/>
      <w:adjustRightInd w:val="0"/>
    </w:pPr>
    <w:rPr>
      <w:rFonts w:ascii="Verdana" w:hAnsi="Verdana" w:cs="Verdana"/>
      <w:color w:val="000000"/>
      <w:sz w:val="24"/>
      <w:szCs w:val="24"/>
    </w:rPr>
  </w:style>
  <w:style w:type="paragraph" w:styleId="Listenabsatz">
    <w:name w:val="List Paragraph"/>
    <w:basedOn w:val="Standard"/>
    <w:uiPriority w:val="34"/>
    <w:qFormat/>
    <w:rsid w:val="00683B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baua.de/de/Themen-von-A-Z/Gefahrstoffe/TRGS/TRGS-905.html" TargetMode="External"/><Relationship Id="rId2" Type="http://schemas.openxmlformats.org/officeDocument/2006/relationships/hyperlink" Target="http://echa.europa.eu/de/information-on-chemicals/cl-inventory;jsessionid=DA27CFECE7646B23BCB6C99891C18F7F.live2" TargetMode="External"/><Relationship Id="rId1" Type="http://schemas.openxmlformats.org/officeDocument/2006/relationships/hyperlink" Target="http://echa.europa.eu/chem_data/authorisation_process/candidate_list_table_en.asp" TargetMode="External"/><Relationship Id="rId4" Type="http://schemas.openxmlformats.org/officeDocument/2006/relationships/hyperlink" Target="http://www.baua.de/de/Themen-von-A-Z/Gefahrstoffe/Einstufung-und-Kennzeichnung/CMR-Gesamtliste_content.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1053</Words>
  <Characters>6638</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Anlage 1 zum Vertrag nach RAL-UZ 123</vt:lpstr>
    </vt:vector>
  </TitlesOfParts>
  <Company>RAL</Company>
  <LinksUpToDate>false</LinksUpToDate>
  <CharactersWithSpaces>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zum Vertrag nach RAL-UZ 123</dc:title>
  <dc:creator>hermann</dc:creator>
  <cp:lastModifiedBy>Rimkus-Völker, Andrea</cp:lastModifiedBy>
  <cp:revision>3</cp:revision>
  <dcterms:created xsi:type="dcterms:W3CDTF">2022-07-06T08:17:00Z</dcterms:created>
  <dcterms:modified xsi:type="dcterms:W3CDTF">2022-07-06T08:17:00Z</dcterms:modified>
</cp:coreProperties>
</file>