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71"/>
        <w:gridCol w:w="284"/>
        <w:gridCol w:w="2410"/>
      </w:tblGrid>
      <w:tr w:rsidR="000343BE" w:rsidRPr="001F688D" w14:paraId="425F9738" w14:textId="77777777" w:rsidTr="00371CF3">
        <w:tc>
          <w:tcPr>
            <w:tcW w:w="7371" w:type="dxa"/>
            <w:tcBorders>
              <w:top w:val="nil"/>
              <w:left w:val="nil"/>
              <w:bottom w:val="single" w:sz="6" w:space="0" w:color="auto"/>
              <w:right w:val="nil"/>
            </w:tcBorders>
          </w:tcPr>
          <w:p w14:paraId="32225FF8" w14:textId="77777777" w:rsidR="000343BE" w:rsidRPr="001F688D" w:rsidRDefault="000343BE" w:rsidP="00352FBF">
            <w:pPr>
              <w:tabs>
                <w:tab w:val="left" w:pos="5670"/>
              </w:tabs>
              <w:rPr>
                <w:rFonts w:cs="Arial"/>
                <w:b/>
                <w:szCs w:val="22"/>
              </w:rPr>
            </w:pPr>
            <w:r w:rsidRPr="001F688D">
              <w:rPr>
                <w:b/>
              </w:rPr>
              <w:t>Annex 1 to the contract pursuant to DE-UZ 84a</w:t>
            </w:r>
          </w:p>
          <w:p w14:paraId="6BC8703A" w14:textId="77777777" w:rsidR="000343BE" w:rsidRPr="001F688D" w:rsidRDefault="000343BE" w:rsidP="00352FBF">
            <w:pPr>
              <w:tabs>
                <w:tab w:val="left" w:pos="5670"/>
              </w:tabs>
              <w:rPr>
                <w:rFonts w:cs="Arial"/>
                <w:b/>
                <w:szCs w:val="22"/>
              </w:rPr>
            </w:pPr>
          </w:p>
          <w:p w14:paraId="038657B0" w14:textId="77777777" w:rsidR="000343BE" w:rsidRPr="001F688D" w:rsidRDefault="000343BE" w:rsidP="00352FBF">
            <w:pPr>
              <w:tabs>
                <w:tab w:val="left" w:pos="5670"/>
              </w:tabs>
              <w:rPr>
                <w:rFonts w:cs="Arial"/>
                <w:b/>
                <w:szCs w:val="22"/>
              </w:rPr>
            </w:pPr>
            <w:r w:rsidRPr="001F688D">
              <w:rPr>
                <w:b/>
              </w:rPr>
              <w:t>Environmental Label for</w:t>
            </w:r>
          </w:p>
          <w:p w14:paraId="53DE9CBB" w14:textId="77777777" w:rsidR="000343BE" w:rsidRPr="001F688D" w:rsidRDefault="000343BE" w:rsidP="00371CF3">
            <w:pPr>
              <w:tabs>
                <w:tab w:val="left" w:pos="5670"/>
              </w:tabs>
              <w:ind w:right="70"/>
              <w:rPr>
                <w:rFonts w:cs="Arial"/>
                <w:b/>
                <w:szCs w:val="22"/>
              </w:rPr>
            </w:pPr>
            <w:r w:rsidRPr="001F688D">
              <w:rPr>
                <w:b/>
              </w:rPr>
              <w:t>“Sanitary Additives Compatible with Wastewater Treatment Plants”</w:t>
            </w:r>
          </w:p>
        </w:tc>
        <w:tc>
          <w:tcPr>
            <w:tcW w:w="284" w:type="dxa"/>
            <w:tcBorders>
              <w:top w:val="nil"/>
              <w:left w:val="nil"/>
              <w:bottom w:val="nil"/>
              <w:right w:val="single" w:sz="6" w:space="0" w:color="auto"/>
            </w:tcBorders>
          </w:tcPr>
          <w:p w14:paraId="1E2F88B4" w14:textId="77777777" w:rsidR="000343BE" w:rsidRPr="001F688D" w:rsidRDefault="000343BE" w:rsidP="00352FBF">
            <w:pPr>
              <w:tabs>
                <w:tab w:val="left" w:pos="5670"/>
              </w:tabs>
              <w:rPr>
                <w:rFonts w:cs="Arial"/>
                <w:b/>
                <w:szCs w:val="22"/>
              </w:rPr>
            </w:pPr>
          </w:p>
        </w:tc>
        <w:tc>
          <w:tcPr>
            <w:tcW w:w="2410" w:type="dxa"/>
            <w:tcBorders>
              <w:left w:val="nil"/>
            </w:tcBorders>
            <w:vAlign w:val="center"/>
          </w:tcPr>
          <w:p w14:paraId="209C21E8" w14:textId="77777777" w:rsidR="000343BE" w:rsidRPr="001F688D" w:rsidRDefault="000343BE" w:rsidP="00352FBF">
            <w:pPr>
              <w:tabs>
                <w:tab w:val="left" w:pos="5670"/>
              </w:tabs>
              <w:jc w:val="center"/>
              <w:rPr>
                <w:rFonts w:cs="Arial"/>
                <w:b/>
                <w:szCs w:val="22"/>
              </w:rPr>
            </w:pPr>
            <w:r w:rsidRPr="001F688D">
              <w:rPr>
                <w:b/>
              </w:rPr>
              <w:t>Please use this</w:t>
            </w:r>
          </w:p>
          <w:p w14:paraId="20CD83D2" w14:textId="77777777" w:rsidR="000343BE" w:rsidRPr="001F688D" w:rsidRDefault="000343BE" w:rsidP="00352FBF">
            <w:pPr>
              <w:tabs>
                <w:tab w:val="left" w:pos="5670"/>
              </w:tabs>
              <w:jc w:val="center"/>
              <w:rPr>
                <w:rFonts w:cs="Arial"/>
                <w:b/>
                <w:szCs w:val="22"/>
              </w:rPr>
            </w:pPr>
          </w:p>
          <w:p w14:paraId="0746CE28" w14:textId="77777777" w:rsidR="000343BE" w:rsidRPr="001F688D" w:rsidRDefault="000343BE" w:rsidP="00352FBF">
            <w:pPr>
              <w:tabs>
                <w:tab w:val="left" w:pos="5670"/>
              </w:tabs>
              <w:jc w:val="center"/>
              <w:rPr>
                <w:rFonts w:cs="Arial"/>
                <w:b/>
                <w:szCs w:val="22"/>
              </w:rPr>
            </w:pPr>
            <w:r w:rsidRPr="001F688D">
              <w:rPr>
                <w:b/>
              </w:rPr>
              <w:t>printed form!</w:t>
            </w:r>
          </w:p>
        </w:tc>
      </w:tr>
    </w:tbl>
    <w:p w14:paraId="68390C25" w14:textId="77777777" w:rsidR="000343BE" w:rsidRPr="001F688D" w:rsidRDefault="000343BE" w:rsidP="000343BE">
      <w:pPr>
        <w:tabs>
          <w:tab w:val="left" w:pos="5670"/>
        </w:tabs>
        <w:rPr>
          <w:rFonts w:cs="Arial"/>
          <w:szCs w:val="22"/>
        </w:rPr>
      </w:pPr>
    </w:p>
    <w:p w14:paraId="6F93C83F" w14:textId="77777777" w:rsidR="000343BE" w:rsidRPr="001F688D" w:rsidRDefault="000343BE" w:rsidP="000343BE">
      <w:pPr>
        <w:tabs>
          <w:tab w:val="left" w:pos="5670"/>
        </w:tabs>
        <w:rPr>
          <w:rFonts w:cs="Arial"/>
          <w:szCs w:val="22"/>
        </w:rPr>
      </w:pPr>
    </w:p>
    <w:p w14:paraId="13760CCE" w14:textId="77777777" w:rsidR="000343BE" w:rsidRPr="001F688D" w:rsidRDefault="000343BE" w:rsidP="000343BE">
      <w:pPr>
        <w:tabs>
          <w:tab w:val="left" w:pos="5670"/>
        </w:tabs>
        <w:rPr>
          <w:rFonts w:cs="Arial"/>
          <w:szCs w:val="22"/>
        </w:rPr>
      </w:pPr>
    </w:p>
    <w:p w14:paraId="32D5EE50" w14:textId="77777777" w:rsidR="000343BE" w:rsidRPr="001F688D" w:rsidRDefault="000343BE" w:rsidP="000343BE">
      <w:pPr>
        <w:tabs>
          <w:tab w:val="left" w:pos="3119"/>
        </w:tabs>
        <w:jc w:val="both"/>
        <w:rPr>
          <w:rFonts w:cs="Arial"/>
          <w:szCs w:val="22"/>
        </w:rPr>
      </w:pPr>
      <w:r w:rsidRPr="001F688D">
        <w:t>Manufacturer (licence holder):</w:t>
      </w:r>
      <w:r w:rsidRPr="001F688D">
        <w:tab/>
      </w:r>
      <w:r w:rsidRPr="001F688D">
        <w:rPr>
          <w:rFonts w:cs="Arial"/>
        </w:rPr>
        <w:fldChar w:fldCharType="begin" w:fldLock="1">
          <w:ffData>
            <w:name w:val="Text4"/>
            <w:enabled/>
            <w:calcOnExit w:val="0"/>
            <w:textInput>
              <w:maxLength w:val="40"/>
            </w:textInput>
          </w:ffData>
        </w:fldChar>
      </w:r>
      <w:bookmarkStart w:id="0" w:name="Text4"/>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0"/>
    </w:p>
    <w:p w14:paraId="542444BC"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E6DB9B1"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2279632A"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25DE0E03" w14:textId="77777777" w:rsidR="000343BE" w:rsidRPr="001F688D" w:rsidRDefault="000343BE" w:rsidP="000343BE">
      <w:pPr>
        <w:tabs>
          <w:tab w:val="left" w:pos="3119"/>
        </w:tabs>
        <w:jc w:val="both"/>
        <w:rPr>
          <w:rFonts w:cs="Arial"/>
          <w:szCs w:val="22"/>
        </w:rPr>
      </w:pPr>
    </w:p>
    <w:p w14:paraId="52CC5511" w14:textId="77777777" w:rsidR="000343BE" w:rsidRPr="001F688D" w:rsidRDefault="000343BE" w:rsidP="000343BE">
      <w:pPr>
        <w:tabs>
          <w:tab w:val="left" w:pos="3119"/>
        </w:tabs>
        <w:jc w:val="both"/>
        <w:rPr>
          <w:rFonts w:cs="Arial"/>
          <w:szCs w:val="22"/>
        </w:rPr>
      </w:pPr>
    </w:p>
    <w:p w14:paraId="03E84E10" w14:textId="77777777" w:rsidR="000343BE" w:rsidRPr="001F688D" w:rsidRDefault="000343BE" w:rsidP="000343BE">
      <w:pPr>
        <w:tabs>
          <w:tab w:val="left" w:pos="739"/>
          <w:tab w:val="left" w:pos="3119"/>
        </w:tabs>
        <w:rPr>
          <w:rFonts w:cs="Arial"/>
          <w:szCs w:val="22"/>
        </w:rPr>
      </w:pPr>
      <w:r w:rsidRPr="001F688D">
        <w:t>Distributor (label user):</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20769F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17924BC"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4F8331BD"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71810B9" w14:textId="77777777" w:rsidR="000343BE" w:rsidRPr="001F688D" w:rsidRDefault="000343BE" w:rsidP="000343BE">
      <w:pPr>
        <w:tabs>
          <w:tab w:val="left" w:pos="3119"/>
        </w:tabs>
        <w:jc w:val="both"/>
        <w:rPr>
          <w:rFonts w:cs="Arial"/>
          <w:szCs w:val="22"/>
        </w:rPr>
      </w:pPr>
    </w:p>
    <w:p w14:paraId="71468D14" w14:textId="77777777" w:rsidR="000343BE" w:rsidRPr="001F688D" w:rsidRDefault="000343BE" w:rsidP="000343BE">
      <w:pPr>
        <w:tabs>
          <w:tab w:val="left" w:pos="3119"/>
        </w:tabs>
        <w:jc w:val="both"/>
        <w:rPr>
          <w:rFonts w:cs="Arial"/>
          <w:szCs w:val="22"/>
        </w:rPr>
      </w:pPr>
    </w:p>
    <w:p w14:paraId="3A9F2C7B" w14:textId="77777777" w:rsidR="000343BE" w:rsidRPr="001F688D" w:rsidRDefault="000343BE" w:rsidP="000343BE">
      <w:pPr>
        <w:tabs>
          <w:tab w:val="left" w:pos="3119"/>
        </w:tabs>
        <w:jc w:val="both"/>
        <w:rPr>
          <w:rFonts w:cs="Arial"/>
          <w:szCs w:val="22"/>
        </w:rPr>
      </w:pPr>
      <w:r w:rsidRPr="001F688D">
        <w:t>Brand/trade name:</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077A3A0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77112C74"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68E35F64" w14:textId="77777777" w:rsidR="000343BE" w:rsidRPr="001F688D" w:rsidRDefault="000343BE" w:rsidP="000343BE">
      <w:pPr>
        <w:tabs>
          <w:tab w:val="left" w:pos="3119"/>
        </w:tabs>
        <w:jc w:val="both"/>
        <w:rPr>
          <w:rFonts w:cs="Arial"/>
          <w:szCs w:val="22"/>
        </w:rPr>
      </w:pPr>
    </w:p>
    <w:p w14:paraId="75CF65E7" w14:textId="77777777" w:rsidR="000343BE" w:rsidRPr="001F688D" w:rsidRDefault="000343BE" w:rsidP="000343BE">
      <w:pPr>
        <w:tabs>
          <w:tab w:val="left" w:pos="3119"/>
        </w:tabs>
        <w:jc w:val="both"/>
        <w:rPr>
          <w:rFonts w:cs="Arial"/>
          <w:szCs w:val="22"/>
        </w:rPr>
      </w:pPr>
    </w:p>
    <w:p w14:paraId="3085424F" w14:textId="77777777" w:rsidR="000343BE" w:rsidRPr="001F688D" w:rsidRDefault="000343BE" w:rsidP="000343BE">
      <w:pPr>
        <w:tabs>
          <w:tab w:val="left" w:pos="3119"/>
        </w:tabs>
        <w:jc w:val="both"/>
        <w:rPr>
          <w:rFonts w:cs="Arial"/>
          <w:szCs w:val="22"/>
        </w:rPr>
      </w:pPr>
    </w:p>
    <w:p w14:paraId="034DA00D" w14:textId="77777777" w:rsidR="000343BE" w:rsidRPr="001F688D" w:rsidRDefault="000343BE" w:rsidP="000343BE">
      <w:pPr>
        <w:tabs>
          <w:tab w:val="left" w:pos="3119"/>
        </w:tabs>
        <w:jc w:val="both"/>
        <w:rPr>
          <w:rFonts w:cs="Arial"/>
          <w:szCs w:val="22"/>
        </w:rPr>
      </w:pPr>
      <w:r w:rsidRPr="001F688D">
        <w:t>Product designation</w:t>
      </w:r>
      <w:r w:rsidRPr="001F688D">
        <w:rPr>
          <w:rStyle w:val="Funotenzeichen"/>
          <w:rFonts w:cs="Arial"/>
          <w:szCs w:val="22"/>
        </w:rPr>
        <w:footnoteReference w:customMarkFollows="1" w:id="1"/>
        <w:t>1</w:t>
      </w:r>
      <w:r w:rsidRPr="001F688D">
        <w:t>:</w:t>
      </w: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5401D3E9"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652B6C88" w14:textId="77777777" w:rsidR="000343BE" w:rsidRPr="001F688D" w:rsidRDefault="000343BE" w:rsidP="000343BE">
      <w:pPr>
        <w:tabs>
          <w:tab w:val="left" w:pos="3119"/>
        </w:tabs>
        <w:jc w:val="both"/>
        <w:rPr>
          <w:rFonts w:cs="Arial"/>
          <w:szCs w:val="22"/>
        </w:rPr>
      </w:pPr>
      <w:r w:rsidRPr="001F688D">
        <w:tab/>
      </w:r>
      <w:r w:rsidRPr="001F688D">
        <w:rPr>
          <w:rFonts w:cs="Arial"/>
        </w:rPr>
        <w:fldChar w:fldCharType="begin" w:fldLock="1">
          <w:ffData>
            <w:name w:val="Text4"/>
            <w:enabled/>
            <w:calcOnExit w:val="0"/>
            <w:textInput>
              <w:maxLength w:val="4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p w14:paraId="4DEF9AE9" w14:textId="77777777" w:rsidR="000343BE" w:rsidRPr="001F688D" w:rsidRDefault="000343BE" w:rsidP="000343BE">
      <w:pPr>
        <w:tabs>
          <w:tab w:val="left" w:pos="3119"/>
          <w:tab w:val="left" w:pos="5387"/>
        </w:tabs>
        <w:jc w:val="both"/>
        <w:rPr>
          <w:rFonts w:cs="Arial"/>
          <w:szCs w:val="22"/>
        </w:rPr>
      </w:pPr>
    </w:p>
    <w:p w14:paraId="7C16BFFF" w14:textId="77777777" w:rsidR="000343BE" w:rsidRPr="001F688D" w:rsidRDefault="000343BE" w:rsidP="000343BE">
      <w:pPr>
        <w:tabs>
          <w:tab w:val="left" w:pos="5387"/>
        </w:tabs>
        <w:jc w:val="both"/>
        <w:rPr>
          <w:rFonts w:cs="Arial"/>
          <w:szCs w:val="22"/>
        </w:rPr>
      </w:pPr>
    </w:p>
    <w:p w14:paraId="0FD0944C" w14:textId="77777777" w:rsidR="000343BE" w:rsidRPr="001F688D" w:rsidRDefault="000343BE" w:rsidP="000343BE">
      <w:pPr>
        <w:jc w:val="both"/>
        <w:rPr>
          <w:rFonts w:cs="Arial"/>
          <w:b/>
          <w:szCs w:val="22"/>
          <w:u w:val="single"/>
        </w:rPr>
      </w:pPr>
      <w:r w:rsidRPr="001F688D">
        <w:rPr>
          <w:b/>
          <w:u w:val="single"/>
        </w:rPr>
        <w:t>Declarations by the applicant</w:t>
      </w:r>
    </w:p>
    <w:p w14:paraId="4FD5E86C" w14:textId="77777777" w:rsidR="000343BE" w:rsidRPr="001F688D" w:rsidRDefault="000343BE" w:rsidP="000343BE">
      <w:pPr>
        <w:jc w:val="both"/>
        <w:rPr>
          <w:rFonts w:cs="Arial"/>
          <w:szCs w:val="22"/>
        </w:rPr>
      </w:pPr>
    </w:p>
    <w:p w14:paraId="5C4255A5" w14:textId="77777777" w:rsidR="000343BE" w:rsidRPr="001F688D" w:rsidRDefault="00374D34" w:rsidP="000343BE">
      <w:pPr>
        <w:jc w:val="both"/>
        <w:rPr>
          <w:rFonts w:cs="Arial"/>
          <w:szCs w:val="22"/>
        </w:rPr>
      </w:pPr>
      <w:r w:rsidRPr="001F688D">
        <w:t>We hereby declare compliance with the following requirements:</w:t>
      </w:r>
    </w:p>
    <w:p w14:paraId="77DC6FAF" w14:textId="77777777" w:rsidR="00374D34" w:rsidRPr="001F688D" w:rsidRDefault="00374D34" w:rsidP="000343BE">
      <w:pPr>
        <w:jc w:val="both"/>
        <w:rPr>
          <w:rFonts w:cs="Arial"/>
          <w:szCs w:val="22"/>
        </w:rPr>
      </w:pPr>
    </w:p>
    <w:p w14:paraId="5EB5771F" w14:textId="77777777" w:rsidR="00870888" w:rsidRPr="001F688D" w:rsidRDefault="00870888" w:rsidP="00870888">
      <w:pPr>
        <w:pStyle w:val="Listenabsatz"/>
        <w:numPr>
          <w:ilvl w:val="0"/>
          <w:numId w:val="6"/>
        </w:numPr>
        <w:rPr>
          <w:rFonts w:cs="Arial"/>
          <w:szCs w:val="22"/>
        </w:rPr>
      </w:pPr>
      <w:r w:rsidRPr="001F688D">
        <w:t xml:space="preserve">The use of biocidal products, as defined in the </w:t>
      </w:r>
      <w:bookmarkStart w:id="1" w:name="_Hlk55384984"/>
      <w:r w:rsidRPr="001F688D">
        <w:t xml:space="preserve">Biocidal Products Regulation (EU) 528/2012, </w:t>
      </w:r>
      <w:bookmarkEnd w:id="1"/>
      <w:r w:rsidRPr="001F688D">
        <w:t>is not permitted. Substances approved as food additives in Europe (e.g. citric acid), as well as fragrances and fragrance mixtures as specified in Paragraph 3.6 (lavender oil) that have biocidal properties, are exempt from this requirement.</w:t>
      </w:r>
      <w:r w:rsidRPr="001F688D">
        <w:rPr>
          <w:rStyle w:val="Funotenzeichen"/>
          <w:rFonts w:cs="Arial"/>
          <w:szCs w:val="22"/>
        </w:rPr>
        <w:footnoteReference w:id="2"/>
      </w:r>
      <w:r w:rsidRPr="001F688D">
        <w:t xml:space="preserve"> In-can preservatives or their mixtures (PA 6) are subject to the requirements in Paragraph 3.2.3.</w:t>
      </w:r>
    </w:p>
    <w:p w14:paraId="72A7C57D" w14:textId="77777777" w:rsidR="00870888" w:rsidRPr="001F688D" w:rsidRDefault="00870888" w:rsidP="00870888">
      <w:pPr>
        <w:pStyle w:val="Listenabsatz"/>
        <w:rPr>
          <w:rFonts w:cs="Arial"/>
          <w:szCs w:val="22"/>
        </w:rPr>
      </w:pPr>
    </w:p>
    <w:p w14:paraId="29503576" w14:textId="77777777" w:rsidR="00870888" w:rsidRPr="001F688D" w:rsidRDefault="00870888" w:rsidP="00870888">
      <w:pPr>
        <w:pStyle w:val="Listenabsatz"/>
        <w:numPr>
          <w:ilvl w:val="0"/>
          <w:numId w:val="6"/>
        </w:numPr>
        <w:rPr>
          <w:rFonts w:cs="Arial"/>
          <w:szCs w:val="22"/>
        </w:rPr>
      </w:pPr>
      <w:r w:rsidRPr="001F688D">
        <w:t>The end product may only include biocides in order to preserve the product and in the appropriate dosage for this purpose.</w:t>
      </w:r>
    </w:p>
    <w:p w14:paraId="051FBCD3" w14:textId="77777777" w:rsidR="00870888" w:rsidRPr="001F688D" w:rsidRDefault="00870888" w:rsidP="00870888">
      <w:pPr>
        <w:pStyle w:val="Listenabsatz"/>
        <w:rPr>
          <w:rFonts w:cs="Arial"/>
          <w:szCs w:val="22"/>
        </w:rPr>
      </w:pPr>
    </w:p>
    <w:p w14:paraId="2D9B8CAC" w14:textId="77777777" w:rsidR="00870888" w:rsidRPr="001F688D" w:rsidRDefault="00870888" w:rsidP="00870888">
      <w:pPr>
        <w:pStyle w:val="Listenabsatz"/>
        <w:rPr>
          <w:rFonts w:cs="Arial"/>
          <w:szCs w:val="22"/>
        </w:rPr>
      </w:pPr>
      <w:r w:rsidRPr="001F688D">
        <w:t xml:space="preserve">The </w:t>
      </w:r>
      <w:proofErr w:type="spellStart"/>
      <w:r w:rsidRPr="001F688D">
        <w:t>isothiazolinone</w:t>
      </w:r>
      <w:proofErr w:type="spellEnd"/>
      <w:r w:rsidRPr="001F688D">
        <w:t xml:space="preserve"> content in the end product must not exceed the following individual limits:</w:t>
      </w:r>
    </w:p>
    <w:p w14:paraId="437067CB" w14:textId="77777777" w:rsidR="00870888" w:rsidRPr="001F688D" w:rsidRDefault="00870888" w:rsidP="00870888">
      <w:pPr>
        <w:pStyle w:val="AufzhlungPunkt1"/>
        <w:numPr>
          <w:ilvl w:val="1"/>
          <w:numId w:val="6"/>
        </w:numPr>
        <w:rPr>
          <w:rFonts w:ascii="Arial" w:hAnsi="Arial" w:cs="Arial"/>
          <w:sz w:val="22"/>
          <w:szCs w:val="22"/>
        </w:rPr>
      </w:pPr>
      <w:bookmarkStart w:id="3" w:name="_Hlk51181516"/>
      <w:r w:rsidRPr="001F688D">
        <w:rPr>
          <w:rFonts w:ascii="Arial" w:hAnsi="Arial"/>
          <w:sz w:val="22"/>
        </w:rPr>
        <w:t>BIT (1,2-benzisothiazol-3(2H)-one) ≤ 0.0010% by mass</w:t>
      </w:r>
    </w:p>
    <w:p w14:paraId="4A4AB142"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MIT (2-methyl-4-isothiazolin-3-one) ≤ 0.0015% by mass</w:t>
      </w:r>
    </w:p>
    <w:p w14:paraId="2E7F1B00"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CIT (5-chloro-2-methyl-4-isothiazolin-3-one) ≤ 0.0010% by mass</w:t>
      </w:r>
    </w:p>
    <w:p w14:paraId="5D3BA9A9"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lastRenderedPageBreak/>
        <w:t>CIT/MIT ≤ 0.0015% by mass</w:t>
      </w:r>
    </w:p>
    <w:p w14:paraId="54E8B05B" w14:textId="77777777" w:rsidR="00870888" w:rsidRPr="001F688D" w:rsidRDefault="00870888" w:rsidP="00870888">
      <w:pPr>
        <w:pStyle w:val="AufzhlungPunkt1"/>
        <w:numPr>
          <w:ilvl w:val="1"/>
          <w:numId w:val="6"/>
        </w:numPr>
        <w:rPr>
          <w:rFonts w:ascii="Arial" w:hAnsi="Arial" w:cs="Arial"/>
          <w:sz w:val="22"/>
          <w:szCs w:val="22"/>
        </w:rPr>
      </w:pPr>
      <w:r w:rsidRPr="001F688D">
        <w:rPr>
          <w:rFonts w:ascii="Arial" w:hAnsi="Arial"/>
          <w:sz w:val="22"/>
        </w:rPr>
        <w:t xml:space="preserve">All other </w:t>
      </w:r>
      <w:proofErr w:type="spellStart"/>
      <w:r w:rsidRPr="001F688D">
        <w:rPr>
          <w:rFonts w:ascii="Arial" w:hAnsi="Arial"/>
          <w:sz w:val="22"/>
        </w:rPr>
        <w:t>isothiazolinones</w:t>
      </w:r>
      <w:proofErr w:type="spellEnd"/>
      <w:r w:rsidRPr="001F688D">
        <w:rPr>
          <w:rFonts w:ascii="Arial" w:hAnsi="Arial"/>
          <w:sz w:val="22"/>
        </w:rPr>
        <w:t xml:space="preserve"> ≤ 0.0020% by mass, based on the individual substance</w:t>
      </w:r>
    </w:p>
    <w:p w14:paraId="25BBF208" w14:textId="79DAF120" w:rsidR="00870888" w:rsidRPr="00D84F50" w:rsidRDefault="00870888" w:rsidP="00D84F50">
      <w:pPr>
        <w:pStyle w:val="AufzhlungPunkt1"/>
        <w:numPr>
          <w:ilvl w:val="1"/>
          <w:numId w:val="6"/>
        </w:numPr>
        <w:rPr>
          <w:rFonts w:ascii="Arial" w:hAnsi="Arial" w:cs="Arial"/>
          <w:sz w:val="22"/>
          <w:szCs w:val="22"/>
        </w:rPr>
      </w:pPr>
      <w:r w:rsidRPr="001F688D">
        <w:rPr>
          <w:rFonts w:ascii="Arial" w:hAnsi="Arial"/>
          <w:sz w:val="22"/>
        </w:rPr>
        <w:t>Free formaldehyde ≤ 0.0010% by mass</w:t>
      </w:r>
      <w:bookmarkEnd w:id="3"/>
    </w:p>
    <w:p w14:paraId="3640E85C" w14:textId="77777777" w:rsidR="00870888" w:rsidRPr="001F688D" w:rsidRDefault="00870888" w:rsidP="00870888">
      <w:pPr>
        <w:pStyle w:val="AufzhlungPunkt1"/>
        <w:numPr>
          <w:ilvl w:val="0"/>
          <w:numId w:val="0"/>
        </w:numPr>
        <w:ind w:left="720"/>
        <w:rPr>
          <w:rFonts w:ascii="Arial" w:hAnsi="Arial" w:cs="Arial"/>
          <w:sz w:val="22"/>
          <w:szCs w:val="22"/>
        </w:rPr>
      </w:pPr>
    </w:p>
    <w:p w14:paraId="731EE7E3" w14:textId="77777777" w:rsidR="00870888" w:rsidRPr="001F688D" w:rsidRDefault="00870888" w:rsidP="00870888">
      <w:pPr>
        <w:pStyle w:val="Listenabsatz"/>
        <w:numPr>
          <w:ilvl w:val="0"/>
          <w:numId w:val="8"/>
        </w:numPr>
        <w:rPr>
          <w:rFonts w:cs="Arial"/>
          <w:szCs w:val="22"/>
        </w:rPr>
      </w:pPr>
      <w:r w:rsidRPr="001F688D">
        <w:t>The surfactants used in the product must meet the requirements for ready, aerobic biodegradability in accordance with the Detergent Regulation (EC) No 648/2004, Annex III.</w:t>
      </w:r>
    </w:p>
    <w:p w14:paraId="03B2E0D6" w14:textId="77777777" w:rsidR="000E203F" w:rsidRPr="001F688D" w:rsidRDefault="000E203F" w:rsidP="000E203F">
      <w:pPr>
        <w:pStyle w:val="Listenabsatz"/>
        <w:rPr>
          <w:rFonts w:cs="Arial"/>
          <w:szCs w:val="22"/>
        </w:rPr>
      </w:pPr>
    </w:p>
    <w:tbl>
      <w:tblPr>
        <w:tblStyle w:val="Tabellenraster"/>
        <w:tblW w:w="0" w:type="auto"/>
        <w:tblInd w:w="720" w:type="dxa"/>
        <w:tblLook w:val="04A0" w:firstRow="1" w:lastRow="0" w:firstColumn="1" w:lastColumn="0" w:noHBand="0" w:noVBand="1"/>
      </w:tblPr>
      <w:tblGrid>
        <w:gridCol w:w="2790"/>
        <w:gridCol w:w="2410"/>
        <w:gridCol w:w="3509"/>
      </w:tblGrid>
      <w:tr w:rsidR="000E203F" w:rsidRPr="001F688D" w14:paraId="599D91D4" w14:textId="77777777" w:rsidTr="009635B0">
        <w:tc>
          <w:tcPr>
            <w:tcW w:w="2790" w:type="dxa"/>
            <w:vAlign w:val="center"/>
          </w:tcPr>
          <w:p w14:paraId="00681E7B" w14:textId="77777777" w:rsidR="000E203F" w:rsidRPr="001F688D" w:rsidRDefault="000E203F" w:rsidP="000E203F">
            <w:pPr>
              <w:pStyle w:val="Listenabsatz"/>
              <w:spacing w:line="276" w:lineRule="auto"/>
              <w:ind w:left="0"/>
              <w:rPr>
                <w:rFonts w:cs="Arial"/>
                <w:b/>
                <w:szCs w:val="22"/>
              </w:rPr>
            </w:pPr>
            <w:r w:rsidRPr="001F688D">
              <w:rPr>
                <w:b/>
              </w:rPr>
              <w:t>Trade name of the surfactant</w:t>
            </w:r>
          </w:p>
        </w:tc>
        <w:tc>
          <w:tcPr>
            <w:tcW w:w="2410" w:type="dxa"/>
            <w:vAlign w:val="center"/>
          </w:tcPr>
          <w:p w14:paraId="3565F2A8" w14:textId="77777777" w:rsidR="000E203F" w:rsidRPr="001F688D" w:rsidRDefault="000E203F" w:rsidP="000E203F">
            <w:pPr>
              <w:pStyle w:val="Listenabsatz"/>
              <w:spacing w:line="276" w:lineRule="auto"/>
              <w:ind w:left="0"/>
              <w:rPr>
                <w:rFonts w:cs="Arial"/>
                <w:b/>
                <w:szCs w:val="22"/>
              </w:rPr>
            </w:pPr>
            <w:r w:rsidRPr="001F688D">
              <w:rPr>
                <w:b/>
              </w:rPr>
              <w:t>Included in Part A of the DID list</w:t>
            </w:r>
            <w:r w:rsidRPr="001F688D">
              <w:rPr>
                <w:rStyle w:val="Funotenzeichen"/>
                <w:rFonts w:cs="Arial"/>
                <w:b/>
                <w:szCs w:val="22"/>
              </w:rPr>
              <w:footnoteReference w:id="3"/>
            </w:r>
          </w:p>
        </w:tc>
        <w:tc>
          <w:tcPr>
            <w:tcW w:w="3509" w:type="dxa"/>
            <w:vAlign w:val="center"/>
          </w:tcPr>
          <w:p w14:paraId="231AE3B0" w14:textId="77777777" w:rsidR="000E203F" w:rsidRPr="001F688D" w:rsidRDefault="000E203F" w:rsidP="000E203F">
            <w:pPr>
              <w:pStyle w:val="Listenabsatz"/>
              <w:spacing w:line="276" w:lineRule="auto"/>
              <w:ind w:left="0"/>
              <w:rPr>
                <w:rFonts w:cs="Arial"/>
                <w:b/>
                <w:szCs w:val="22"/>
              </w:rPr>
            </w:pPr>
            <w:r w:rsidRPr="001F688D">
              <w:rPr>
                <w:b/>
              </w:rPr>
              <w:t>Assessment of the aerobic biodegradability according to Part A of the DID list (R, I, P, O or NA)</w:t>
            </w:r>
          </w:p>
        </w:tc>
      </w:tr>
      <w:tr w:rsidR="000E203F" w:rsidRPr="001F688D" w14:paraId="2F163ED8" w14:textId="77777777" w:rsidTr="009635B0">
        <w:tc>
          <w:tcPr>
            <w:tcW w:w="2790" w:type="dxa"/>
            <w:vAlign w:val="center"/>
          </w:tcPr>
          <w:p w14:paraId="0CF06961" w14:textId="77777777" w:rsidR="000E203F" w:rsidRPr="001F688D" w:rsidRDefault="000E203F" w:rsidP="000E203F">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bookmarkStart w:id="4" w:name="Text7"/>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4"/>
          </w:p>
        </w:tc>
        <w:tc>
          <w:tcPr>
            <w:tcW w:w="2410" w:type="dxa"/>
            <w:vAlign w:val="center"/>
          </w:tcPr>
          <w:p w14:paraId="7E076F46" w14:textId="77777777" w:rsidR="000E203F" w:rsidRPr="001F688D" w:rsidRDefault="000E203F" w:rsidP="000E203F">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ed w:val="0"/>
                  </w:checkBox>
                </w:ffData>
              </w:fldChar>
            </w:r>
            <w:bookmarkStart w:id="5" w:name="Kontrollkästchen3"/>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bookmarkEnd w:id="5"/>
            <w:r w:rsidRPr="001F688D">
              <w:t xml:space="preserve">     No     </w:t>
            </w:r>
            <w:r w:rsidRPr="001F688D">
              <w:rPr>
                <w:rFonts w:cs="Arial"/>
              </w:rPr>
              <w:fldChar w:fldCharType="begin">
                <w:ffData>
                  <w:name w:val="Kontrollkästchen5"/>
                  <w:enabled/>
                  <w:calcOnExit w:val="0"/>
                  <w:checkBox>
                    <w:sizeAuto/>
                    <w:default w:val="0"/>
                    <w:checked w:val="0"/>
                  </w:checkBox>
                </w:ffData>
              </w:fldChar>
            </w:r>
            <w:bookmarkStart w:id="6" w:name="Kontrollkästchen5"/>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bookmarkEnd w:id="6"/>
          </w:p>
        </w:tc>
        <w:tc>
          <w:tcPr>
            <w:tcW w:w="3509" w:type="dxa"/>
            <w:vAlign w:val="center"/>
          </w:tcPr>
          <w:p w14:paraId="7E44C3BE" w14:textId="77777777" w:rsidR="000E203F" w:rsidRPr="001F688D" w:rsidRDefault="000E203F" w:rsidP="000E203F">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219C46A6" w14:textId="77777777" w:rsidTr="009635B0">
        <w:tc>
          <w:tcPr>
            <w:tcW w:w="2790" w:type="dxa"/>
            <w:vAlign w:val="center"/>
          </w:tcPr>
          <w:p w14:paraId="0375B0D3"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550D45A6"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c>
          <w:tcPr>
            <w:tcW w:w="3509" w:type="dxa"/>
            <w:vAlign w:val="center"/>
          </w:tcPr>
          <w:p w14:paraId="7935D794"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7FCDABB8" w14:textId="77777777" w:rsidTr="009635B0">
        <w:tc>
          <w:tcPr>
            <w:tcW w:w="2790" w:type="dxa"/>
            <w:vAlign w:val="center"/>
          </w:tcPr>
          <w:p w14:paraId="034F07C7"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09EA1CFC"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c>
          <w:tcPr>
            <w:tcW w:w="3509" w:type="dxa"/>
            <w:vAlign w:val="center"/>
          </w:tcPr>
          <w:p w14:paraId="7566B228"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74425C09" w14:textId="77777777" w:rsidTr="009635B0">
        <w:tc>
          <w:tcPr>
            <w:tcW w:w="2790" w:type="dxa"/>
            <w:vAlign w:val="center"/>
          </w:tcPr>
          <w:p w14:paraId="1041A4DD" w14:textId="112BA8FA"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bookmarkStart w:id="7" w:name="_GoBack"/>
            <w:bookmarkEnd w:id="7"/>
            <w:r w:rsidRPr="001F688D">
              <w:t>   </w:t>
            </w:r>
            <w:r w:rsidRPr="001F688D">
              <w:rPr>
                <w:rFonts w:cs="Arial"/>
              </w:rPr>
              <w:fldChar w:fldCharType="end"/>
            </w:r>
          </w:p>
        </w:tc>
        <w:tc>
          <w:tcPr>
            <w:tcW w:w="2410" w:type="dxa"/>
            <w:vAlign w:val="center"/>
          </w:tcPr>
          <w:p w14:paraId="415E5EDE"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c>
          <w:tcPr>
            <w:tcW w:w="3509" w:type="dxa"/>
            <w:vAlign w:val="center"/>
          </w:tcPr>
          <w:p w14:paraId="5C6A4769"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r w:rsidR="009635B0" w:rsidRPr="001F688D" w14:paraId="47935A3A" w14:textId="77777777" w:rsidTr="009635B0">
        <w:tc>
          <w:tcPr>
            <w:tcW w:w="2790" w:type="dxa"/>
            <w:vAlign w:val="center"/>
          </w:tcPr>
          <w:p w14:paraId="30D1BDC1"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2410" w:type="dxa"/>
            <w:vAlign w:val="center"/>
          </w:tcPr>
          <w:p w14:paraId="796971F2" w14:textId="77777777" w:rsidR="009635B0" w:rsidRPr="001F688D" w:rsidRDefault="009635B0" w:rsidP="009635B0">
            <w:pPr>
              <w:spacing w:line="276" w:lineRule="auto"/>
              <w:rPr>
                <w:rFonts w:cs="Arial"/>
                <w:szCs w:val="22"/>
              </w:rPr>
            </w:pPr>
            <w:r w:rsidRPr="001F688D">
              <w:t xml:space="preserve">Yes      </w:t>
            </w:r>
            <w:r w:rsidRPr="001F688D">
              <w:rPr>
                <w:rFonts w:cs="Arial"/>
              </w:rPr>
              <w:fldChar w:fldCharType="begin">
                <w:ffData>
                  <w:name w:val="Kontrollkästchen3"/>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r w:rsidRPr="001F688D">
              <w:t xml:space="preserve">     No     </w:t>
            </w: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c>
          <w:tcPr>
            <w:tcW w:w="3509" w:type="dxa"/>
            <w:vAlign w:val="center"/>
          </w:tcPr>
          <w:p w14:paraId="5D455323" w14:textId="77777777" w:rsidR="009635B0" w:rsidRPr="001F688D" w:rsidRDefault="009635B0" w:rsidP="009635B0">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r>
    </w:tbl>
    <w:p w14:paraId="7AF94E37" w14:textId="77777777" w:rsidR="00870888" w:rsidRPr="001F688D" w:rsidRDefault="00870888" w:rsidP="009635B0">
      <w:pPr>
        <w:spacing w:after="120"/>
        <w:jc w:val="both"/>
        <w:rPr>
          <w:rFonts w:cs="Arial"/>
          <w:color w:val="000000"/>
          <w:spacing w:val="-1"/>
          <w:szCs w:val="22"/>
        </w:rPr>
      </w:pPr>
    </w:p>
    <w:p w14:paraId="493A8A71" w14:textId="77777777" w:rsidR="005035AF" w:rsidRPr="001F688D" w:rsidRDefault="005035AF" w:rsidP="005035AF">
      <w:pPr>
        <w:pStyle w:val="Listenabsatz"/>
        <w:numPr>
          <w:ilvl w:val="0"/>
          <w:numId w:val="8"/>
        </w:numPr>
        <w:rPr>
          <w:rFonts w:cs="Arial"/>
          <w:szCs w:val="22"/>
        </w:rPr>
      </w:pPr>
      <w:r w:rsidRPr="001F688D">
        <w:t xml:space="preserve">The following substances are not permitted in the product, either as part of the formulation or as part of any preparation included in the formulation: Production-related impurities may not exceed 0.010% by mass in the product. </w:t>
      </w:r>
      <w:bookmarkStart w:id="8" w:name="_Hlk40887479"/>
      <w:r w:rsidRPr="001F688D">
        <w:t>If a stricter, more specific concentration limit is specified for a substance in a mixture in the criteria for the CLP Regulation (EC) No. 1272/2008 then this is valid.</w:t>
      </w:r>
      <w:bookmarkEnd w:id="8"/>
    </w:p>
    <w:p w14:paraId="65DDF1A2" w14:textId="77777777" w:rsidR="005035AF" w:rsidRPr="001F688D" w:rsidRDefault="005035AF" w:rsidP="005035AF">
      <w:pPr>
        <w:rPr>
          <w:rFonts w:cs="Arial"/>
          <w:szCs w:val="22"/>
        </w:rPr>
      </w:pPr>
    </w:p>
    <w:p w14:paraId="0E8BB2D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Alkyl phenol ethoxylates </w:t>
      </w:r>
      <w:bookmarkStart w:id="9" w:name="_Hlk38965752"/>
      <w:bookmarkStart w:id="10" w:name="_Hlk38965740"/>
      <w:r w:rsidRPr="001F688D">
        <w:rPr>
          <w:rFonts w:ascii="Arial" w:hAnsi="Arial"/>
          <w:sz w:val="22"/>
        </w:rPr>
        <w:t>(APEO) and derivatives thereof</w:t>
      </w:r>
      <w:bookmarkEnd w:id="9"/>
    </w:p>
    <w:bookmarkEnd w:id="10"/>
    <w:p w14:paraId="2059880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Phosphates and phosphonates</w:t>
      </w:r>
    </w:p>
    <w:p w14:paraId="25C5244E"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EDTA (ethylenediaminetetraacetic acid) and its salts</w:t>
      </w:r>
    </w:p>
    <w:p w14:paraId="170E860D"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DTPA (diethylenetriaminepentaacetic acid) and its salts</w:t>
      </w:r>
    </w:p>
    <w:p w14:paraId="23395FAA"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NTA (nitrilotriacetic acid)</w:t>
      </w:r>
    </w:p>
    <w:p w14:paraId="6B17C669"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Reactive chlorine compounds (e.g. hypochlorite)</w:t>
      </w:r>
    </w:p>
    <w:p w14:paraId="0A239931"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Glutaral (glutaraldehyde) </w:t>
      </w:r>
    </w:p>
    <w:p w14:paraId="12B8A7C6"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 xml:space="preserve">Organic ammonium compounds and polyquaternium compounds that are not readily </w:t>
      </w:r>
      <w:proofErr w:type="gramStart"/>
      <w:r w:rsidRPr="001F688D">
        <w:rPr>
          <w:rFonts w:ascii="Arial" w:hAnsi="Arial"/>
          <w:sz w:val="22"/>
        </w:rPr>
        <w:t>biodegradable(</w:t>
      </w:r>
      <w:proofErr w:type="gramEnd"/>
      <w:r w:rsidRPr="001F688D">
        <w:rPr>
          <w:rFonts w:ascii="Arial" w:hAnsi="Arial"/>
          <w:sz w:val="22"/>
        </w:rPr>
        <w:t>*).</w:t>
      </w:r>
    </w:p>
    <w:p w14:paraId="51090888" w14:textId="77777777" w:rsidR="005035AF" w:rsidRPr="001F688D" w:rsidRDefault="005035AF" w:rsidP="005035AF">
      <w:pPr>
        <w:pStyle w:val="AufzhlungPunkt1"/>
        <w:numPr>
          <w:ilvl w:val="1"/>
          <w:numId w:val="8"/>
        </w:numPr>
        <w:rPr>
          <w:rFonts w:ascii="Arial" w:hAnsi="Arial" w:cs="Arial"/>
          <w:sz w:val="22"/>
          <w:szCs w:val="22"/>
        </w:rPr>
      </w:pPr>
      <w:r w:rsidRPr="001F688D">
        <w:rPr>
          <w:rFonts w:ascii="Arial" w:hAnsi="Arial"/>
          <w:sz w:val="22"/>
        </w:rPr>
        <w:t>Substances that contain mercury, lead, cadmium or chromium, as well as boron and halogenated oxidants.</w:t>
      </w:r>
    </w:p>
    <w:p w14:paraId="62992CAF" w14:textId="77777777" w:rsidR="005035AF" w:rsidRPr="001F688D" w:rsidRDefault="005035AF" w:rsidP="005035AF">
      <w:pPr>
        <w:pStyle w:val="AufzhlungPunkt1"/>
        <w:numPr>
          <w:ilvl w:val="1"/>
          <w:numId w:val="8"/>
        </w:numPr>
        <w:rPr>
          <w:rFonts w:ascii="Arial" w:hAnsi="Arial" w:cs="Arial"/>
          <w:sz w:val="22"/>
          <w:szCs w:val="22"/>
        </w:rPr>
      </w:pPr>
      <w:proofErr w:type="spellStart"/>
      <w:r w:rsidRPr="001F688D">
        <w:rPr>
          <w:rFonts w:ascii="Arial" w:hAnsi="Arial"/>
          <w:sz w:val="22"/>
        </w:rPr>
        <w:t>Nanosilver</w:t>
      </w:r>
      <w:proofErr w:type="spellEnd"/>
      <w:r w:rsidRPr="001F688D">
        <w:rPr>
          <w:rFonts w:ascii="Arial" w:hAnsi="Arial"/>
          <w:sz w:val="22"/>
        </w:rPr>
        <w:t xml:space="preserve"> </w:t>
      </w:r>
    </w:p>
    <w:p w14:paraId="29542944" w14:textId="77777777" w:rsidR="005035AF" w:rsidRPr="001F688D" w:rsidRDefault="005035AF" w:rsidP="005035AF">
      <w:pPr>
        <w:pStyle w:val="AufzhlungPunkt1"/>
        <w:numPr>
          <w:ilvl w:val="1"/>
          <w:numId w:val="8"/>
        </w:numPr>
        <w:rPr>
          <w:rFonts w:ascii="Arial" w:hAnsi="Arial" w:cs="Arial"/>
          <w:sz w:val="22"/>
          <w:szCs w:val="22"/>
        </w:rPr>
      </w:pPr>
      <w:proofErr w:type="spellStart"/>
      <w:r w:rsidRPr="001F688D">
        <w:rPr>
          <w:rFonts w:ascii="Arial" w:hAnsi="Arial"/>
          <w:sz w:val="22"/>
        </w:rPr>
        <w:t>Rhodamin</w:t>
      </w:r>
      <w:proofErr w:type="spellEnd"/>
      <w:r w:rsidRPr="001F688D">
        <w:rPr>
          <w:rFonts w:ascii="Arial" w:hAnsi="Arial"/>
          <w:sz w:val="22"/>
        </w:rPr>
        <w:t xml:space="preserve"> B (CI 45170)</w:t>
      </w:r>
    </w:p>
    <w:p w14:paraId="1CBFDA91" w14:textId="77777777" w:rsidR="005035AF" w:rsidRPr="001F688D" w:rsidRDefault="005035AF" w:rsidP="005035AF">
      <w:pPr>
        <w:pStyle w:val="AufzhlungPunkt1"/>
        <w:numPr>
          <w:ilvl w:val="0"/>
          <w:numId w:val="0"/>
        </w:numPr>
        <w:ind w:left="426" w:hanging="426"/>
        <w:rPr>
          <w:rFonts w:ascii="Arial" w:hAnsi="Arial" w:cs="Arial"/>
          <w:sz w:val="22"/>
          <w:szCs w:val="22"/>
        </w:rPr>
      </w:pPr>
    </w:p>
    <w:p w14:paraId="07309D62" w14:textId="77777777" w:rsidR="005035AF" w:rsidRPr="001F688D" w:rsidRDefault="005035AF" w:rsidP="005035AF">
      <w:pPr>
        <w:pStyle w:val="AufzhlungPunkt2"/>
        <w:numPr>
          <w:ilvl w:val="1"/>
          <w:numId w:val="9"/>
        </w:numPr>
        <w:rPr>
          <w:rFonts w:ascii="Arial" w:hAnsi="Arial" w:cs="Arial"/>
          <w:sz w:val="22"/>
          <w:szCs w:val="22"/>
        </w:rPr>
      </w:pPr>
      <w:r w:rsidRPr="001F688D">
        <w:rPr>
          <w:rFonts w:ascii="Arial" w:hAnsi="Arial"/>
          <w:sz w:val="22"/>
        </w:rPr>
        <w:t xml:space="preserve">Formaldehyde and formaldehyde </w:t>
      </w:r>
      <w:proofErr w:type="gramStart"/>
      <w:r w:rsidRPr="001F688D">
        <w:rPr>
          <w:rFonts w:ascii="Arial" w:hAnsi="Arial"/>
          <w:sz w:val="22"/>
        </w:rPr>
        <w:t>releasers(</w:t>
      </w:r>
      <w:proofErr w:type="gramEnd"/>
      <w:r w:rsidRPr="001F688D">
        <w:rPr>
          <w:rFonts w:ascii="Arial" w:hAnsi="Arial"/>
          <w:sz w:val="22"/>
        </w:rPr>
        <w:t>**), e.g. (INCI designations):</w:t>
      </w:r>
    </w:p>
    <w:p w14:paraId="6F126E9F"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Bromo-5-nitro-1,3-dioxane </w:t>
      </w:r>
    </w:p>
    <w:p w14:paraId="312AC88B"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Diazolidinyl</w:t>
      </w:r>
      <w:proofErr w:type="spellEnd"/>
      <w:r w:rsidRPr="001F688D">
        <w:rPr>
          <w:rFonts w:ascii="Arial" w:hAnsi="Arial"/>
          <w:sz w:val="22"/>
        </w:rPr>
        <w:t xml:space="preserve"> urea </w:t>
      </w:r>
    </w:p>
    <w:p w14:paraId="515C3CDC"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Sodium </w:t>
      </w:r>
      <w:proofErr w:type="spellStart"/>
      <w:r w:rsidRPr="001F688D">
        <w:rPr>
          <w:rFonts w:ascii="Arial" w:hAnsi="Arial"/>
          <w:sz w:val="22"/>
        </w:rPr>
        <w:t>hydroxymethylglycinate</w:t>
      </w:r>
      <w:proofErr w:type="spellEnd"/>
    </w:p>
    <w:p w14:paraId="5A979EE2"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Dimethylol</w:t>
      </w:r>
      <w:proofErr w:type="spellEnd"/>
      <w:r w:rsidRPr="001F688D">
        <w:rPr>
          <w:rFonts w:ascii="Arial" w:hAnsi="Arial"/>
          <w:sz w:val="22"/>
        </w:rPr>
        <w:t xml:space="preserve"> glycol</w:t>
      </w:r>
    </w:p>
    <w:p w14:paraId="05B73193"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Dimethylol</w:t>
      </w:r>
      <w:proofErr w:type="spellEnd"/>
      <w:r w:rsidRPr="001F688D">
        <w:rPr>
          <w:rFonts w:ascii="Arial" w:hAnsi="Arial"/>
          <w:sz w:val="22"/>
        </w:rPr>
        <w:t xml:space="preserve"> urea</w:t>
      </w:r>
    </w:p>
    <w:p w14:paraId="5FF59656"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Hydantoin quartermium-15</w:t>
      </w:r>
    </w:p>
    <w:p w14:paraId="6B955B73"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lastRenderedPageBreak/>
        <w:t>Tetramethylolglycoluril</w:t>
      </w:r>
      <w:proofErr w:type="spellEnd"/>
    </w:p>
    <w:p w14:paraId="5BE22E6E" w14:textId="77777777" w:rsidR="005035AF" w:rsidRPr="001F688D" w:rsidRDefault="005035AF" w:rsidP="005035AF">
      <w:pPr>
        <w:pStyle w:val="AufzhlungPunkt2"/>
        <w:rPr>
          <w:rFonts w:ascii="Arial" w:hAnsi="Arial" w:cs="Arial"/>
          <w:sz w:val="22"/>
          <w:szCs w:val="22"/>
        </w:rPr>
      </w:pPr>
    </w:p>
    <w:p w14:paraId="0F1C2248" w14:textId="77777777" w:rsidR="005035AF" w:rsidRPr="001F688D" w:rsidRDefault="005035AF" w:rsidP="005035AF">
      <w:pPr>
        <w:pStyle w:val="AufzhlungPunkt2"/>
        <w:ind w:left="720"/>
        <w:rPr>
          <w:rFonts w:ascii="Arial" w:hAnsi="Arial" w:cs="Arial"/>
          <w:sz w:val="22"/>
          <w:szCs w:val="22"/>
        </w:rPr>
      </w:pPr>
      <w:r w:rsidRPr="001F688D">
        <w:rPr>
          <w:rFonts w:ascii="Arial" w:hAnsi="Arial"/>
          <w:sz w:val="22"/>
        </w:rPr>
        <w:t>The following fragrances:</w:t>
      </w:r>
    </w:p>
    <w:p w14:paraId="455BE259" w14:textId="77777777" w:rsidR="005035AF" w:rsidRPr="001F688D" w:rsidRDefault="005035AF" w:rsidP="005035AF">
      <w:pPr>
        <w:pStyle w:val="AufzhlungPunkt1"/>
        <w:numPr>
          <w:ilvl w:val="1"/>
          <w:numId w:val="7"/>
        </w:numPr>
        <w:ind w:left="1418" w:hanging="284"/>
        <w:rPr>
          <w:rFonts w:ascii="Arial" w:hAnsi="Arial" w:cs="Arial"/>
          <w:sz w:val="22"/>
          <w:szCs w:val="22"/>
        </w:rPr>
      </w:pPr>
      <w:bookmarkStart w:id="11" w:name="_Hlk38983626"/>
      <w:proofErr w:type="spellStart"/>
      <w:r w:rsidRPr="001F688D">
        <w:rPr>
          <w:rFonts w:ascii="Arial" w:hAnsi="Arial"/>
          <w:sz w:val="22"/>
        </w:rPr>
        <w:t>Nitromusks</w:t>
      </w:r>
      <w:proofErr w:type="spellEnd"/>
      <w:r w:rsidRPr="001F688D">
        <w:rPr>
          <w:rFonts w:ascii="Arial" w:hAnsi="Arial"/>
          <w:sz w:val="22"/>
        </w:rPr>
        <w:t xml:space="preserve"> and polycyclic </w:t>
      </w:r>
      <w:proofErr w:type="spellStart"/>
      <w:r w:rsidRPr="001F688D">
        <w:rPr>
          <w:rFonts w:ascii="Arial" w:hAnsi="Arial"/>
          <w:sz w:val="22"/>
        </w:rPr>
        <w:t>musks</w:t>
      </w:r>
      <w:proofErr w:type="spellEnd"/>
      <w:r w:rsidRPr="001F688D">
        <w:rPr>
          <w:rFonts w:ascii="Arial" w:hAnsi="Arial"/>
          <w:sz w:val="22"/>
        </w:rPr>
        <w:t xml:space="preserve"> including e.g.: </w:t>
      </w:r>
    </w:p>
    <w:p w14:paraId="71074107"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Musk Xylene (5-tert-Butyl-2,4,6-trinitro-m-xylene / musk xylol: 5-tert-Butyl-2,4,6-trinitro-m-xylol), </w:t>
      </w:r>
    </w:p>
    <w:p w14:paraId="3E569B6F"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Musk ambrette (4-</w:t>
      </w:r>
      <w:proofErr w:type="gramStart"/>
      <w:r w:rsidRPr="001F688D">
        <w:rPr>
          <w:rFonts w:ascii="Arial" w:hAnsi="Arial"/>
          <w:sz w:val="22"/>
        </w:rPr>
        <w:t>tert.-</w:t>
      </w:r>
      <w:proofErr w:type="gramEnd"/>
      <w:r w:rsidRPr="001F688D">
        <w:rPr>
          <w:rFonts w:ascii="Arial" w:hAnsi="Arial"/>
          <w:sz w:val="22"/>
        </w:rPr>
        <w:t xml:space="preserve">Butyl-3-methoxy-2,6-dinitrotoluene / musk ambrette: 4-tert-Butyl-3-methoxy-2,6-dinitrotoluol), </w:t>
      </w:r>
    </w:p>
    <w:p w14:paraId="1B95CEC3"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Moskene</w:t>
      </w:r>
      <w:proofErr w:type="spellEnd"/>
      <w:r w:rsidRPr="001F688D">
        <w:rPr>
          <w:rFonts w:ascii="Arial" w:hAnsi="Arial"/>
          <w:sz w:val="22"/>
        </w:rPr>
        <w:t xml:space="preserve"> (1,1,3,3,5-Pentamethyl-4,6-dinitroindane / musk </w:t>
      </w:r>
      <w:proofErr w:type="spellStart"/>
      <w:r w:rsidRPr="001F688D">
        <w:rPr>
          <w:rFonts w:ascii="Arial" w:hAnsi="Arial"/>
          <w:sz w:val="22"/>
        </w:rPr>
        <w:t>moskene</w:t>
      </w:r>
      <w:proofErr w:type="spellEnd"/>
      <w:r w:rsidRPr="001F688D">
        <w:rPr>
          <w:rFonts w:ascii="Arial" w:hAnsi="Arial"/>
          <w:sz w:val="22"/>
        </w:rPr>
        <w:t xml:space="preserve">: 1,1,3,3,5-Pentamethyl-4,6-dinitroindan), </w:t>
      </w:r>
    </w:p>
    <w:p w14:paraId="5D29D5B8"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Tibetene</w:t>
      </w:r>
      <w:proofErr w:type="spellEnd"/>
      <w:r w:rsidRPr="001F688D">
        <w:rPr>
          <w:rFonts w:ascii="Arial" w:hAnsi="Arial"/>
          <w:sz w:val="22"/>
        </w:rPr>
        <w:t xml:space="preserve"> (5-</w:t>
      </w:r>
      <w:proofErr w:type="gramStart"/>
      <w:r w:rsidRPr="001F688D">
        <w:rPr>
          <w:rFonts w:ascii="Arial" w:hAnsi="Arial"/>
          <w:sz w:val="22"/>
        </w:rPr>
        <w:t>tert.-</w:t>
      </w:r>
      <w:proofErr w:type="gramEnd"/>
      <w:r w:rsidRPr="001F688D">
        <w:rPr>
          <w:rFonts w:ascii="Arial" w:hAnsi="Arial"/>
          <w:sz w:val="22"/>
        </w:rPr>
        <w:t xml:space="preserve">Butyl-1,2,3-trimethyl-4,6-dinitrobenzene / </w:t>
      </w:r>
      <w:proofErr w:type="spellStart"/>
      <w:r w:rsidRPr="001F688D">
        <w:rPr>
          <w:rFonts w:ascii="Arial" w:hAnsi="Arial"/>
          <w:sz w:val="22"/>
        </w:rPr>
        <w:t>tibetene</w:t>
      </w:r>
      <w:proofErr w:type="spellEnd"/>
      <w:r w:rsidRPr="001F688D">
        <w:rPr>
          <w:rFonts w:ascii="Arial" w:hAnsi="Arial"/>
          <w:sz w:val="22"/>
        </w:rPr>
        <w:t xml:space="preserve"> musk: 1-tert-Butyl-3,4,5-trimethyl-2,6-dinitrobenzol), </w:t>
      </w:r>
    </w:p>
    <w:p w14:paraId="28F8ED9B"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 xml:space="preserve">Musk Ketone (4'-tert-Butyl-2',6'-dimethyl-3',5'-dinitroacetophenone / musk ketone: 4’-tert-Butyl-2‘,6’-dimethyl-3‘,5’-dinitroacetaphenol, </w:t>
      </w:r>
    </w:p>
    <w:p w14:paraId="70C00D27" w14:textId="77777777" w:rsidR="005035AF" w:rsidRPr="001F688D" w:rsidRDefault="005035AF" w:rsidP="005035AF">
      <w:pPr>
        <w:pStyle w:val="AufzhlungPunkt2"/>
        <w:numPr>
          <w:ilvl w:val="2"/>
          <w:numId w:val="9"/>
        </w:numPr>
        <w:rPr>
          <w:rFonts w:ascii="Arial" w:hAnsi="Arial" w:cs="Arial"/>
          <w:sz w:val="22"/>
          <w:szCs w:val="22"/>
        </w:rPr>
      </w:pPr>
      <w:proofErr w:type="spellStart"/>
      <w:r w:rsidRPr="001F688D">
        <w:rPr>
          <w:rFonts w:ascii="Arial" w:hAnsi="Arial"/>
          <w:sz w:val="22"/>
        </w:rPr>
        <w:t>Hexamethylindanopyran</w:t>
      </w:r>
      <w:proofErr w:type="spellEnd"/>
      <w:r w:rsidRPr="001F688D">
        <w:rPr>
          <w:rFonts w:ascii="Arial" w:hAnsi="Arial"/>
          <w:sz w:val="22"/>
        </w:rPr>
        <w:t xml:space="preserve"> (HHCB; 1,3,4,6,7,8-Hexahydro-4,6,6,7,8,8-hexamethylcyclopenta-(g)-2benzopyran), </w:t>
      </w:r>
    </w:p>
    <w:p w14:paraId="12C573B4" w14:textId="77777777" w:rsidR="005035AF" w:rsidRPr="001F688D" w:rsidRDefault="005035AF" w:rsidP="005035AF">
      <w:pPr>
        <w:pStyle w:val="AufzhlungPunkt2"/>
        <w:numPr>
          <w:ilvl w:val="2"/>
          <w:numId w:val="9"/>
        </w:numPr>
        <w:rPr>
          <w:rFonts w:ascii="Arial" w:hAnsi="Arial" w:cs="Arial"/>
          <w:sz w:val="22"/>
          <w:szCs w:val="22"/>
        </w:rPr>
      </w:pPr>
      <w:r w:rsidRPr="001F688D">
        <w:rPr>
          <w:rFonts w:ascii="Arial" w:hAnsi="Arial"/>
          <w:sz w:val="22"/>
        </w:rPr>
        <w:t>1-(5,6,7,8-Tetrahydro-3,5,5,6,8,</w:t>
      </w:r>
      <w:proofErr w:type="gramStart"/>
      <w:r w:rsidRPr="001F688D">
        <w:rPr>
          <w:rFonts w:ascii="Arial" w:hAnsi="Arial"/>
          <w:sz w:val="22"/>
        </w:rPr>
        <w:t>8,-</w:t>
      </w:r>
      <w:proofErr w:type="gramEnd"/>
      <w:r w:rsidRPr="001F688D">
        <w:rPr>
          <w:rFonts w:ascii="Arial" w:hAnsi="Arial"/>
          <w:sz w:val="22"/>
        </w:rPr>
        <w:t>hexamethyl-2-naphthyl)ethan-1-one (AHTN; 6-Acetyl-1,1,2,4,4,7-hexamethyltetralin),</w:t>
      </w:r>
    </w:p>
    <w:bookmarkEnd w:id="11"/>
    <w:p w14:paraId="3BF46E79"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 xml:space="preserve">Tetramethyl </w:t>
      </w:r>
      <w:proofErr w:type="spellStart"/>
      <w:r w:rsidRPr="001F688D">
        <w:rPr>
          <w:rFonts w:ascii="Arial" w:hAnsi="Arial"/>
          <w:sz w:val="22"/>
        </w:rPr>
        <w:t>Acetyloctahydronaphthalenes</w:t>
      </w:r>
      <w:proofErr w:type="spellEnd"/>
      <w:r w:rsidRPr="001F688D">
        <w:rPr>
          <w:rFonts w:ascii="Arial" w:hAnsi="Arial"/>
          <w:sz w:val="22"/>
        </w:rPr>
        <w:t xml:space="preserve"> (OTNE; reaction mass of 1-(1,2,3,4,5,6,7,8-octahydro-2,3,8,8-tetramethyl-2-naphthyl)ethan-1-one and 1-(1,2,3,4,6,7,8,8a-octahydro-2,3,8,8-tetramethyl-2-naphthyl)ethan-1-one </w:t>
      </w:r>
      <w:proofErr w:type="spellStart"/>
      <w:r w:rsidRPr="001F688D">
        <w:rPr>
          <w:rFonts w:ascii="Arial" w:hAnsi="Arial"/>
          <w:sz w:val="22"/>
        </w:rPr>
        <w:t>and</w:t>
      </w:r>
      <w:proofErr w:type="spellEnd"/>
      <w:r w:rsidRPr="001F688D">
        <w:rPr>
          <w:rFonts w:ascii="Arial" w:hAnsi="Arial"/>
          <w:sz w:val="22"/>
        </w:rPr>
        <w:t xml:space="preserve"> 1-(1,2,3,5,6,7,8,8a-octahydro-2,3,8,8-tetramethyl-2-naphthyl)ethan-1-one)</w:t>
      </w:r>
    </w:p>
    <w:p w14:paraId="2B3EE6A2" w14:textId="77777777" w:rsidR="005035AF" w:rsidRPr="001F688D" w:rsidRDefault="005035AF" w:rsidP="005035AF">
      <w:pPr>
        <w:pStyle w:val="AufzhlungPunkt1"/>
        <w:numPr>
          <w:ilvl w:val="1"/>
          <w:numId w:val="7"/>
        </w:numPr>
        <w:ind w:left="1418" w:hanging="284"/>
        <w:rPr>
          <w:rFonts w:ascii="Arial" w:hAnsi="Arial" w:cs="Arial"/>
          <w:sz w:val="22"/>
          <w:szCs w:val="22"/>
        </w:rPr>
      </w:pPr>
      <w:proofErr w:type="spellStart"/>
      <w:r w:rsidRPr="001F688D">
        <w:rPr>
          <w:rFonts w:ascii="Arial" w:hAnsi="Arial"/>
          <w:sz w:val="22"/>
        </w:rPr>
        <w:t>Hydroxyisohexyl</w:t>
      </w:r>
      <w:proofErr w:type="spellEnd"/>
      <w:r w:rsidRPr="001F688D">
        <w:rPr>
          <w:rFonts w:ascii="Arial" w:hAnsi="Arial"/>
          <w:sz w:val="22"/>
        </w:rPr>
        <w:t xml:space="preserve"> 3-Cyclohexene Carboxaldehyde (3- and 4-(4-Hydroxy-4-methylpentyl) cyclohex-3-ene-1-carbaldehyde; </w:t>
      </w:r>
      <w:proofErr w:type="spellStart"/>
      <w:r w:rsidRPr="001F688D">
        <w:rPr>
          <w:rFonts w:ascii="Arial" w:hAnsi="Arial"/>
          <w:sz w:val="22"/>
        </w:rPr>
        <w:t>Lyral</w:t>
      </w:r>
      <w:proofErr w:type="spellEnd"/>
      <w:r w:rsidRPr="001F688D">
        <w:rPr>
          <w:rFonts w:ascii="Arial" w:hAnsi="Arial"/>
          <w:sz w:val="22"/>
        </w:rPr>
        <w:t xml:space="preserve">; HICC,) </w:t>
      </w:r>
    </w:p>
    <w:p w14:paraId="2722A40D"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2,6-Dihydroxy-4-methyl-benzaldehyde (</w:t>
      </w:r>
      <w:proofErr w:type="spellStart"/>
      <w:r w:rsidRPr="001F688D">
        <w:rPr>
          <w:rFonts w:ascii="Arial" w:hAnsi="Arial"/>
          <w:sz w:val="22"/>
        </w:rPr>
        <w:t>Atranol</w:t>
      </w:r>
      <w:proofErr w:type="spellEnd"/>
      <w:r w:rsidRPr="001F688D">
        <w:rPr>
          <w:rFonts w:ascii="Arial" w:hAnsi="Arial"/>
          <w:sz w:val="22"/>
        </w:rPr>
        <w:t xml:space="preserve">) </w:t>
      </w:r>
    </w:p>
    <w:p w14:paraId="76FC6055"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3-Chloro-2,6-Dihydroxy-4-methyl-benzaldehyde (</w:t>
      </w:r>
      <w:proofErr w:type="spellStart"/>
      <w:r w:rsidRPr="001F688D">
        <w:rPr>
          <w:rFonts w:ascii="Arial" w:hAnsi="Arial"/>
          <w:sz w:val="22"/>
        </w:rPr>
        <w:t>Chloratranol</w:t>
      </w:r>
      <w:proofErr w:type="spellEnd"/>
      <w:r w:rsidRPr="001F688D">
        <w:rPr>
          <w:rFonts w:ascii="Arial" w:hAnsi="Arial"/>
          <w:sz w:val="22"/>
        </w:rPr>
        <w:t xml:space="preserve">; </w:t>
      </w:r>
      <w:proofErr w:type="spellStart"/>
      <w:r w:rsidRPr="001F688D">
        <w:rPr>
          <w:rFonts w:ascii="Arial" w:hAnsi="Arial"/>
          <w:sz w:val="22"/>
        </w:rPr>
        <w:t>Chloroatranol</w:t>
      </w:r>
      <w:proofErr w:type="spellEnd"/>
      <w:r w:rsidRPr="001F688D">
        <w:rPr>
          <w:rFonts w:ascii="Arial" w:hAnsi="Arial"/>
          <w:sz w:val="22"/>
        </w:rPr>
        <w:t>)</w:t>
      </w:r>
    </w:p>
    <w:p w14:paraId="4B08A65F" w14:textId="77777777" w:rsidR="005035AF" w:rsidRPr="001F688D" w:rsidRDefault="005035AF" w:rsidP="005035AF">
      <w:pPr>
        <w:pStyle w:val="AufzhlungPunkt1"/>
        <w:numPr>
          <w:ilvl w:val="1"/>
          <w:numId w:val="7"/>
        </w:numPr>
        <w:ind w:left="1418" w:hanging="284"/>
        <w:rPr>
          <w:rFonts w:ascii="Arial" w:hAnsi="Arial" w:cs="Arial"/>
          <w:sz w:val="22"/>
          <w:szCs w:val="22"/>
        </w:rPr>
      </w:pPr>
      <w:r w:rsidRPr="001F688D">
        <w:rPr>
          <w:rFonts w:ascii="Arial" w:hAnsi="Arial"/>
          <w:sz w:val="22"/>
        </w:rPr>
        <w:t xml:space="preserve">Butylphenyl </w:t>
      </w:r>
      <w:proofErr w:type="spellStart"/>
      <w:r w:rsidRPr="001F688D">
        <w:rPr>
          <w:rFonts w:ascii="Arial" w:hAnsi="Arial"/>
          <w:sz w:val="22"/>
        </w:rPr>
        <w:t>Methylpropional</w:t>
      </w:r>
      <w:proofErr w:type="spellEnd"/>
      <w:r w:rsidRPr="001F688D">
        <w:rPr>
          <w:rFonts w:ascii="Arial" w:hAnsi="Arial"/>
          <w:sz w:val="22"/>
        </w:rPr>
        <w:t xml:space="preserve"> (2-(4-tert-</w:t>
      </w:r>
      <w:proofErr w:type="gramStart"/>
      <w:r w:rsidRPr="001F688D">
        <w:rPr>
          <w:rFonts w:ascii="Arial" w:hAnsi="Arial"/>
          <w:sz w:val="22"/>
        </w:rPr>
        <w:t>Butylbenzyl)propionaldehyde</w:t>
      </w:r>
      <w:proofErr w:type="gramEnd"/>
      <w:r w:rsidRPr="001F688D">
        <w:rPr>
          <w:rFonts w:ascii="Arial" w:hAnsi="Arial"/>
          <w:sz w:val="22"/>
        </w:rPr>
        <w:t xml:space="preserve">; </w:t>
      </w:r>
      <w:proofErr w:type="spellStart"/>
      <w:r w:rsidRPr="001F688D">
        <w:rPr>
          <w:rFonts w:ascii="Arial" w:hAnsi="Arial"/>
          <w:sz w:val="22"/>
        </w:rPr>
        <w:t>Lysmeral</w:t>
      </w:r>
      <w:proofErr w:type="spellEnd"/>
      <w:r w:rsidRPr="001F688D">
        <w:rPr>
          <w:rFonts w:ascii="Arial" w:hAnsi="Arial"/>
          <w:sz w:val="22"/>
        </w:rPr>
        <w:t xml:space="preserve">; </w:t>
      </w:r>
      <w:proofErr w:type="spellStart"/>
      <w:r w:rsidRPr="001F688D">
        <w:rPr>
          <w:rFonts w:ascii="Arial" w:hAnsi="Arial"/>
          <w:sz w:val="22"/>
        </w:rPr>
        <w:t>Lilial</w:t>
      </w:r>
      <w:proofErr w:type="spellEnd"/>
      <w:r w:rsidRPr="001F688D">
        <w:rPr>
          <w:rFonts w:ascii="Arial" w:hAnsi="Arial"/>
          <w:sz w:val="22"/>
        </w:rPr>
        <w:t>)</w:t>
      </w:r>
    </w:p>
    <w:p w14:paraId="25E37057" w14:textId="77777777" w:rsidR="005035AF" w:rsidRPr="001F688D" w:rsidRDefault="005035AF" w:rsidP="005035AF">
      <w:pPr>
        <w:pStyle w:val="AufzhlungPunkt1"/>
        <w:numPr>
          <w:ilvl w:val="0"/>
          <w:numId w:val="0"/>
        </w:numPr>
        <w:ind w:left="426" w:hanging="426"/>
        <w:rPr>
          <w:rFonts w:ascii="Arial" w:hAnsi="Arial" w:cs="Arial"/>
          <w:sz w:val="22"/>
          <w:szCs w:val="22"/>
        </w:rPr>
      </w:pPr>
    </w:p>
    <w:p w14:paraId="21598DAD" w14:textId="77777777" w:rsidR="005035AF" w:rsidRPr="001F688D" w:rsidRDefault="005035AF" w:rsidP="005035AF">
      <w:pPr>
        <w:pStyle w:val="Listenabsatz"/>
        <w:rPr>
          <w:rFonts w:cs="Arial"/>
          <w:szCs w:val="22"/>
        </w:rPr>
      </w:pPr>
      <w:r w:rsidRPr="001F688D">
        <w:t xml:space="preserve">(*) the degradability of the quaternary organic ammonium compounds or the polyquaternium compound must be verified in a standard test for ready biodegradability. The 10-day window is not applied in the case of polymers. </w:t>
      </w:r>
    </w:p>
    <w:p w14:paraId="039CF80C" w14:textId="27226741" w:rsidR="005035AF" w:rsidRDefault="005035AF" w:rsidP="005035AF">
      <w:pPr>
        <w:pStyle w:val="Listenabsatz"/>
      </w:pPr>
      <w:r w:rsidRPr="001F688D">
        <w:t xml:space="preserve">(**) Except for impurities of formaldehyde in surfactants based on </w:t>
      </w:r>
      <w:proofErr w:type="spellStart"/>
      <w:r w:rsidRPr="001F688D">
        <w:t>polyalkoxy</w:t>
      </w:r>
      <w:proofErr w:type="spellEnd"/>
      <w:r w:rsidRPr="001F688D">
        <w:t xml:space="preserve"> compounds up to a concentration of 0.010% by mass in the ingredient.</w:t>
      </w:r>
    </w:p>
    <w:p w14:paraId="6DDFF710" w14:textId="77777777" w:rsidR="00226BD2" w:rsidRPr="001F688D" w:rsidRDefault="00226BD2" w:rsidP="005035AF">
      <w:pPr>
        <w:pStyle w:val="Listenabsatz"/>
        <w:rPr>
          <w:rFonts w:cs="Arial"/>
          <w:szCs w:val="22"/>
        </w:rPr>
      </w:pPr>
    </w:p>
    <w:p w14:paraId="37E4A1CD" w14:textId="77777777" w:rsidR="005035AF" w:rsidRPr="001F688D" w:rsidRDefault="005035AF" w:rsidP="005035AF">
      <w:pPr>
        <w:rPr>
          <w:rFonts w:cs="Arial"/>
          <w:szCs w:val="22"/>
        </w:rPr>
      </w:pPr>
    </w:p>
    <w:p w14:paraId="59200D36" w14:textId="77777777" w:rsidR="002E339A" w:rsidRPr="001F688D" w:rsidRDefault="002E339A" w:rsidP="002E339A">
      <w:pPr>
        <w:pStyle w:val="Listenabsatz"/>
        <w:numPr>
          <w:ilvl w:val="0"/>
          <w:numId w:val="8"/>
        </w:numPr>
      </w:pPr>
      <w:r w:rsidRPr="001F688D">
        <w:t>It is only permitted to add encapsulated enzymes (solid) and enzymes in liquid form or as a suspension.</w:t>
      </w:r>
    </w:p>
    <w:p w14:paraId="3DA7C55B" w14:textId="77777777" w:rsidR="002E339A" w:rsidRPr="001F688D" w:rsidRDefault="002E339A" w:rsidP="002E339A">
      <w:pPr>
        <w:pStyle w:val="Listenabsatz"/>
      </w:pPr>
    </w:p>
    <w:p w14:paraId="684B0DBF" w14:textId="44160178" w:rsidR="002E339A" w:rsidRDefault="002E339A" w:rsidP="002E339A">
      <w:pPr>
        <w:pStyle w:val="Listenabsatz"/>
        <w:numPr>
          <w:ilvl w:val="0"/>
          <w:numId w:val="8"/>
        </w:numPr>
      </w:pPr>
      <w:r w:rsidRPr="001F688D">
        <w:t>The end product must not contain any colouring agents that are bioaccumulating. A colouring agent is considered to be non-bioaccumulating if it has a bioconcentration factor (BCF) &lt; 100 or a log Pow &lt; 3.0. If the values for both the BCF and the log Pow are available, the highest measurement for the BCF is valid. If using colouring agents that have been approved for use in foodstuffs, no documentation about the bioconcentration factor needs to be submitted.</w:t>
      </w:r>
    </w:p>
    <w:p w14:paraId="7DCA08C8" w14:textId="77777777" w:rsidR="00226BD2" w:rsidRDefault="00226BD2" w:rsidP="00226BD2">
      <w:pPr>
        <w:pStyle w:val="Listenabsatz"/>
      </w:pPr>
    </w:p>
    <w:p w14:paraId="1B433EB9" w14:textId="5F6141D3" w:rsidR="00226BD2" w:rsidRDefault="00226BD2" w:rsidP="00226BD2"/>
    <w:p w14:paraId="31271664" w14:textId="77777777" w:rsidR="00D84F50" w:rsidRPr="001F688D" w:rsidRDefault="00D84F50" w:rsidP="00226BD2"/>
    <w:p w14:paraId="225B427D" w14:textId="77777777" w:rsidR="002E339A" w:rsidRPr="001F688D" w:rsidRDefault="002E339A" w:rsidP="002E339A"/>
    <w:tbl>
      <w:tblPr>
        <w:tblStyle w:val="Tabellenraster"/>
        <w:tblW w:w="0" w:type="auto"/>
        <w:tblInd w:w="720" w:type="dxa"/>
        <w:tblLook w:val="04A0" w:firstRow="1" w:lastRow="0" w:firstColumn="1" w:lastColumn="0" w:noHBand="0" w:noVBand="1"/>
      </w:tblPr>
      <w:tblGrid>
        <w:gridCol w:w="2678"/>
        <w:gridCol w:w="1246"/>
        <w:gridCol w:w="1418"/>
        <w:gridCol w:w="3367"/>
      </w:tblGrid>
      <w:tr w:rsidR="00D31CAB" w:rsidRPr="001F688D" w14:paraId="60C6C365" w14:textId="77777777" w:rsidTr="00D31CAB">
        <w:tc>
          <w:tcPr>
            <w:tcW w:w="2678" w:type="dxa"/>
            <w:vAlign w:val="center"/>
          </w:tcPr>
          <w:p w14:paraId="221270AE" w14:textId="7B467A6C" w:rsidR="00D31CAB" w:rsidRPr="001F688D" w:rsidRDefault="00D31CAB" w:rsidP="00770BDE">
            <w:pPr>
              <w:pStyle w:val="Listenabsatz"/>
              <w:spacing w:line="276" w:lineRule="auto"/>
              <w:ind w:left="0"/>
              <w:rPr>
                <w:rFonts w:cs="Arial"/>
                <w:b/>
                <w:szCs w:val="22"/>
              </w:rPr>
            </w:pPr>
            <w:r w:rsidRPr="001F688D">
              <w:rPr>
                <w:b/>
              </w:rPr>
              <w:lastRenderedPageBreak/>
              <w:t xml:space="preserve">Trade name of the </w:t>
            </w:r>
            <w:r w:rsidR="00D84F50">
              <w:rPr>
                <w:b/>
              </w:rPr>
              <w:t>colouring agents</w:t>
            </w:r>
          </w:p>
        </w:tc>
        <w:tc>
          <w:tcPr>
            <w:tcW w:w="1246" w:type="dxa"/>
            <w:vAlign w:val="center"/>
          </w:tcPr>
          <w:p w14:paraId="387990B0" w14:textId="77777777" w:rsidR="00D31CAB" w:rsidRPr="001F688D" w:rsidRDefault="00D31CAB" w:rsidP="00770BDE">
            <w:pPr>
              <w:pStyle w:val="Listenabsatz"/>
              <w:spacing w:line="276" w:lineRule="auto"/>
              <w:ind w:left="0"/>
              <w:rPr>
                <w:rFonts w:cs="Arial"/>
                <w:b/>
                <w:szCs w:val="22"/>
              </w:rPr>
            </w:pPr>
            <w:r w:rsidRPr="001F688D">
              <w:rPr>
                <w:b/>
              </w:rPr>
              <w:t>BCF</w:t>
            </w:r>
          </w:p>
        </w:tc>
        <w:tc>
          <w:tcPr>
            <w:tcW w:w="1418" w:type="dxa"/>
            <w:vAlign w:val="center"/>
          </w:tcPr>
          <w:p w14:paraId="2AB082BC" w14:textId="77777777" w:rsidR="00D31CAB" w:rsidRPr="001F688D" w:rsidRDefault="00D31CAB" w:rsidP="00770BDE">
            <w:pPr>
              <w:pStyle w:val="Listenabsatz"/>
              <w:spacing w:line="276" w:lineRule="auto"/>
              <w:ind w:left="0"/>
              <w:rPr>
                <w:rFonts w:cs="Arial"/>
                <w:b/>
                <w:szCs w:val="22"/>
              </w:rPr>
            </w:pPr>
            <w:r w:rsidRPr="001F688D">
              <w:rPr>
                <w:b/>
              </w:rPr>
              <w:t>Log P</w:t>
            </w:r>
            <w:r w:rsidRPr="001F688D">
              <w:rPr>
                <w:b/>
                <w:vertAlign w:val="subscript"/>
              </w:rPr>
              <w:t>OW</w:t>
            </w:r>
          </w:p>
        </w:tc>
        <w:tc>
          <w:tcPr>
            <w:tcW w:w="3367" w:type="dxa"/>
          </w:tcPr>
          <w:p w14:paraId="5094351F" w14:textId="77777777" w:rsidR="00D31CAB" w:rsidRPr="001F688D" w:rsidRDefault="00D31CAB" w:rsidP="00770BDE">
            <w:pPr>
              <w:pStyle w:val="Listenabsatz"/>
              <w:spacing w:line="276" w:lineRule="auto"/>
              <w:ind w:left="0"/>
              <w:rPr>
                <w:rFonts w:cs="Arial"/>
                <w:b/>
                <w:szCs w:val="22"/>
              </w:rPr>
            </w:pPr>
            <w:r w:rsidRPr="001F688D">
              <w:rPr>
                <w:b/>
              </w:rPr>
              <w:t>Approved for use in foodstuffs</w:t>
            </w:r>
          </w:p>
        </w:tc>
      </w:tr>
      <w:tr w:rsidR="00D31CAB" w:rsidRPr="001F688D" w14:paraId="07AE64F6" w14:textId="77777777" w:rsidTr="00D31CAB">
        <w:tc>
          <w:tcPr>
            <w:tcW w:w="2678" w:type="dxa"/>
            <w:vAlign w:val="center"/>
          </w:tcPr>
          <w:p w14:paraId="4442F16D"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5734C67A"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1EAF1508"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3DC69E29"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r>
      <w:tr w:rsidR="00D31CAB" w:rsidRPr="001F688D" w14:paraId="18C40FC6" w14:textId="77777777" w:rsidTr="00D31CAB">
        <w:tc>
          <w:tcPr>
            <w:tcW w:w="2678" w:type="dxa"/>
            <w:vAlign w:val="center"/>
          </w:tcPr>
          <w:p w14:paraId="4863F195"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3D37AE28"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1C2103E2"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399EB64A"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r>
      <w:tr w:rsidR="00D31CAB" w:rsidRPr="001F688D" w14:paraId="36031B0A" w14:textId="77777777" w:rsidTr="00D31CAB">
        <w:tc>
          <w:tcPr>
            <w:tcW w:w="2678" w:type="dxa"/>
            <w:vAlign w:val="center"/>
          </w:tcPr>
          <w:p w14:paraId="349DDF12"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27837B99"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7A29700D"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22BC89E7"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r>
      <w:tr w:rsidR="00D31CAB" w:rsidRPr="001F688D" w14:paraId="091410B6" w14:textId="77777777" w:rsidTr="00D31CAB">
        <w:tc>
          <w:tcPr>
            <w:tcW w:w="2678" w:type="dxa"/>
            <w:vAlign w:val="center"/>
          </w:tcPr>
          <w:p w14:paraId="30312A59"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69325865"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4B760025"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08F06309" w14:textId="77777777" w:rsidR="00D31CAB" w:rsidRPr="001F688D" w:rsidRDefault="00D31CAB" w:rsidP="00D31CAB">
            <w:pPr>
              <w:jc w:val="center"/>
            </w:pPr>
            <w:r w:rsidRPr="001F688D">
              <w:rPr>
                <w:rFonts w:cs="Arial"/>
              </w:rPr>
              <w:fldChar w:fldCharType="begin">
                <w:ffData>
                  <w:name w:val="Kontrollkästchen5"/>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r>
      <w:tr w:rsidR="00D31CAB" w:rsidRPr="001F688D" w14:paraId="6F90E7A4" w14:textId="77777777" w:rsidTr="00D31CAB">
        <w:tc>
          <w:tcPr>
            <w:tcW w:w="2678" w:type="dxa"/>
            <w:vAlign w:val="center"/>
          </w:tcPr>
          <w:p w14:paraId="61D1D1AF" w14:textId="77777777"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246" w:type="dxa"/>
          </w:tcPr>
          <w:p w14:paraId="49660FEC" w14:textId="77777777" w:rsidR="00D31CAB" w:rsidRPr="001F688D" w:rsidRDefault="00D31CAB" w:rsidP="00D31CAB">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1418" w:type="dxa"/>
            <w:vAlign w:val="center"/>
          </w:tcPr>
          <w:p w14:paraId="6B7DB968" w14:textId="1A1E4576" w:rsidR="00D31CAB" w:rsidRPr="001F688D" w:rsidRDefault="00D31CAB" w:rsidP="00D31CAB">
            <w:pPr>
              <w:pStyle w:val="Listenabsatz"/>
              <w:spacing w:line="276" w:lineRule="auto"/>
              <w:ind w:left="0"/>
              <w:rPr>
                <w:rFonts w:cs="Arial"/>
                <w:szCs w:val="22"/>
              </w:rPr>
            </w:pPr>
            <w:r w:rsidRPr="001F688D">
              <w:rPr>
                <w:rFonts w:cs="Arial"/>
              </w:rPr>
              <w:fldChar w:fldCharType="begin" w:fldLock="1">
                <w:ffData>
                  <w:name w:val="Text7"/>
                  <w:enabled/>
                  <w:calcOnExit w:val="0"/>
                  <w:textInput>
                    <w:maxLength w:val="30"/>
                  </w:textInput>
                </w:ffData>
              </w:fldChar>
            </w:r>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p>
        </w:tc>
        <w:tc>
          <w:tcPr>
            <w:tcW w:w="3367" w:type="dxa"/>
            <w:vAlign w:val="center"/>
          </w:tcPr>
          <w:p w14:paraId="513EC178" w14:textId="5C3EC2D8" w:rsidR="00D31CAB" w:rsidRPr="001F688D" w:rsidRDefault="00D31CAB" w:rsidP="00D31CAB">
            <w:pPr>
              <w:jc w:val="center"/>
            </w:pPr>
            <w:r w:rsidRPr="001F688D">
              <w:rPr>
                <w:rFonts w:cs="Arial"/>
              </w:rPr>
              <w:fldChar w:fldCharType="begin">
                <w:ffData>
                  <w:name w:val="Kontrollkästchen5"/>
                  <w:enabled/>
                  <w:calcOnExit w:val="0"/>
                  <w:checkBox>
                    <w:sizeAuto/>
                    <w:default w:val="0"/>
                    <w:checked w:val="0"/>
                  </w:checkBox>
                </w:ffData>
              </w:fldChar>
            </w:r>
            <w:r w:rsidRPr="001F688D">
              <w:rPr>
                <w:rFonts w:cs="Arial"/>
              </w:rPr>
              <w:instrText xml:space="preserve"> FORMCHECKBOX </w:instrText>
            </w:r>
            <w:r w:rsidR="003734DB" w:rsidRPr="001F688D">
              <w:rPr>
                <w:rFonts w:cs="Arial"/>
              </w:rPr>
            </w:r>
            <w:r w:rsidR="003734DB">
              <w:rPr>
                <w:rFonts w:cs="Arial"/>
              </w:rPr>
              <w:fldChar w:fldCharType="separate"/>
            </w:r>
            <w:r w:rsidRPr="001F688D">
              <w:rPr>
                <w:rFonts w:cs="Arial"/>
              </w:rPr>
              <w:fldChar w:fldCharType="end"/>
            </w:r>
          </w:p>
        </w:tc>
      </w:tr>
    </w:tbl>
    <w:p w14:paraId="2513709F" w14:textId="77777777" w:rsidR="005035AF" w:rsidRPr="001F688D" w:rsidRDefault="005035AF" w:rsidP="005035AF">
      <w:pPr>
        <w:rPr>
          <w:rFonts w:cs="Arial"/>
          <w:szCs w:val="22"/>
        </w:rPr>
      </w:pPr>
    </w:p>
    <w:p w14:paraId="75D448EB" w14:textId="77777777" w:rsidR="00F24EEA" w:rsidRPr="001F688D" w:rsidRDefault="00F24EEA" w:rsidP="00F24EEA">
      <w:pPr>
        <w:pStyle w:val="Listenabsatz"/>
        <w:numPr>
          <w:ilvl w:val="0"/>
          <w:numId w:val="10"/>
        </w:numPr>
      </w:pPr>
      <w:r w:rsidRPr="001F688D">
        <w:t>All sanitary fluids intended for direct sale to the final consumer, except for refill packs with a closure, must come with a scaled dosing system and a childproof closure.</w:t>
      </w:r>
    </w:p>
    <w:p w14:paraId="6BFE524F" w14:textId="77777777" w:rsidR="00F24EEA" w:rsidRPr="001F688D" w:rsidRDefault="00F24EEA" w:rsidP="00F24EEA">
      <w:pPr>
        <w:pStyle w:val="Listenabsatz"/>
      </w:pPr>
    </w:p>
    <w:p w14:paraId="16A8931E" w14:textId="77777777" w:rsidR="00F24EEA" w:rsidRPr="001F688D" w:rsidRDefault="00F24EEA" w:rsidP="00F24EEA">
      <w:pPr>
        <w:pStyle w:val="Listenabsatz"/>
        <w:numPr>
          <w:ilvl w:val="0"/>
          <w:numId w:val="10"/>
        </w:numPr>
      </w:pPr>
      <w:r w:rsidRPr="001F688D">
        <w:t>The packaging materials may not contain any PVC.</w:t>
      </w:r>
    </w:p>
    <w:p w14:paraId="5C20A776" w14:textId="77777777" w:rsidR="00F24EEA" w:rsidRPr="001F688D" w:rsidRDefault="00F24EEA" w:rsidP="00F24EEA">
      <w:pPr>
        <w:pStyle w:val="Listenabsatz"/>
      </w:pPr>
    </w:p>
    <w:p w14:paraId="6BC5313B" w14:textId="77777777" w:rsidR="00F24EEA" w:rsidRPr="001F688D" w:rsidRDefault="00F24EEA" w:rsidP="00F24EEA">
      <w:pPr>
        <w:pStyle w:val="Listenabsatz"/>
        <w:numPr>
          <w:ilvl w:val="0"/>
          <w:numId w:val="10"/>
        </w:numPr>
      </w:pPr>
      <w:r w:rsidRPr="001F688D">
        <w:t>The product must meet the requirements for the product’s fitness for use in the “Method for testing the fitness for use of sanitary additives for the purpose of odour reduction in mobile toilet systems” according to Appendix B of the Basic Award Criteria DE-UZ 84a.</w:t>
      </w:r>
    </w:p>
    <w:p w14:paraId="06FE9CB3" w14:textId="77777777" w:rsidR="000343BE" w:rsidRPr="001F688D" w:rsidRDefault="000343BE" w:rsidP="000343BE">
      <w:pPr>
        <w:ind w:left="3969" w:hanging="3969"/>
        <w:rPr>
          <w:rFonts w:cs="Arial"/>
          <w:szCs w:val="22"/>
        </w:rPr>
      </w:pPr>
    </w:p>
    <w:p w14:paraId="70CE20AB" w14:textId="77777777" w:rsidR="000343BE" w:rsidRPr="001F688D" w:rsidRDefault="000343BE" w:rsidP="000343BE">
      <w:pPr>
        <w:spacing w:line="360" w:lineRule="auto"/>
        <w:rPr>
          <w:rFonts w:cs="Arial"/>
          <w:szCs w:val="22"/>
          <w:u w:val="single"/>
        </w:rPr>
      </w:pPr>
      <w:r w:rsidRPr="001F688D">
        <w:rPr>
          <w:u w:val="single"/>
        </w:rPr>
        <w:t>Annexes</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1276"/>
      </w:tblGrid>
      <w:tr w:rsidR="00AC5CB2" w:rsidRPr="001F688D" w14:paraId="3D096FDD" w14:textId="77777777" w:rsidTr="00770BDE">
        <w:trPr>
          <w:jc w:val="center"/>
        </w:trPr>
        <w:tc>
          <w:tcPr>
            <w:tcW w:w="8330" w:type="dxa"/>
          </w:tcPr>
          <w:p w14:paraId="2EC82F51" w14:textId="77777777" w:rsidR="00AC5CB2" w:rsidRPr="001F688D" w:rsidRDefault="00AC5CB2" w:rsidP="00AC5CB2">
            <w:pPr>
              <w:pStyle w:val="Listenabsatz"/>
              <w:numPr>
                <w:ilvl w:val="0"/>
                <w:numId w:val="11"/>
              </w:numPr>
              <w:spacing w:before="60" w:line="360" w:lineRule="auto"/>
              <w:ind w:left="232" w:hanging="232"/>
              <w:jc w:val="both"/>
            </w:pPr>
            <w:r w:rsidRPr="001F688D">
              <w:t>Annex 1 to the contract pursuant to DE-UZ 84a</w:t>
            </w:r>
          </w:p>
        </w:tc>
        <w:tc>
          <w:tcPr>
            <w:tcW w:w="1276" w:type="dxa"/>
            <w:vAlign w:val="center"/>
          </w:tcPr>
          <w:p w14:paraId="50CBFF2E" w14:textId="61AB2303" w:rsidR="00AC5CB2" w:rsidRPr="001F688D" w:rsidRDefault="00AC5CB2" w:rsidP="00770BDE">
            <w:pPr>
              <w:spacing w:before="60" w:line="360" w:lineRule="auto"/>
              <w:jc w:val="center"/>
            </w:pPr>
            <w:r w:rsidRPr="001F688D">
              <w:fldChar w:fldCharType="begin">
                <w:ffData>
                  <w:name w:val="Kontrollkästchen1"/>
                  <w:enabled/>
                  <w:calcOnExit w:val="0"/>
                  <w:checkBox>
                    <w:sizeAuto/>
                    <w:default w:val="0"/>
                    <w:checked w:val="0"/>
                  </w:checkBox>
                </w:ffData>
              </w:fldChar>
            </w:r>
            <w:bookmarkStart w:id="12" w:name="Kontrollkästchen1"/>
            <w:r w:rsidRPr="001F688D">
              <w:instrText xml:space="preserve"> FORMCHECKBOX </w:instrText>
            </w:r>
            <w:r w:rsidR="003734DB">
              <w:fldChar w:fldCharType="separate"/>
            </w:r>
            <w:r w:rsidRPr="001F688D">
              <w:fldChar w:fldCharType="end"/>
            </w:r>
            <w:bookmarkEnd w:id="12"/>
          </w:p>
        </w:tc>
      </w:tr>
      <w:tr w:rsidR="00AC5CB2" w:rsidRPr="001F688D" w14:paraId="54B92215" w14:textId="77777777" w:rsidTr="00770BDE">
        <w:trPr>
          <w:jc w:val="center"/>
        </w:trPr>
        <w:tc>
          <w:tcPr>
            <w:tcW w:w="8330" w:type="dxa"/>
          </w:tcPr>
          <w:p w14:paraId="2E153732"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Certification and declaration or accreditation certificate according to Paragraph 3.1</w:t>
            </w:r>
          </w:p>
        </w:tc>
        <w:tc>
          <w:tcPr>
            <w:tcW w:w="1276" w:type="dxa"/>
            <w:vAlign w:val="center"/>
          </w:tcPr>
          <w:p w14:paraId="7EF33EB2" w14:textId="77777777" w:rsidR="00AC5CB2" w:rsidRPr="001F688D" w:rsidRDefault="00AC5CB2" w:rsidP="00770BDE">
            <w:pPr>
              <w:spacing w:before="60" w:line="360" w:lineRule="auto"/>
              <w:jc w:val="center"/>
            </w:pPr>
            <w:r w:rsidRPr="001F688D">
              <w:fldChar w:fldCharType="begin">
                <w:ffData>
                  <w:name w:val="Kontrollkästchen1"/>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0E02E669" w14:textId="77777777" w:rsidTr="00770BDE">
        <w:trPr>
          <w:jc w:val="center"/>
        </w:trPr>
        <w:tc>
          <w:tcPr>
            <w:tcW w:w="8330" w:type="dxa"/>
          </w:tcPr>
          <w:p w14:paraId="5D5D5D5D" w14:textId="77777777" w:rsidR="00AC5CB2" w:rsidRPr="001F688D" w:rsidRDefault="00AC5CB2" w:rsidP="00AC5CB2">
            <w:pPr>
              <w:pStyle w:val="Listenabsatz"/>
              <w:numPr>
                <w:ilvl w:val="0"/>
                <w:numId w:val="11"/>
              </w:numPr>
              <w:spacing w:before="60" w:line="360" w:lineRule="auto"/>
              <w:ind w:left="232" w:hanging="232"/>
              <w:jc w:val="both"/>
            </w:pPr>
            <w:r w:rsidRPr="001F688D">
              <w:t>Test certificate according to Paragraph 3.2.1</w:t>
            </w:r>
          </w:p>
        </w:tc>
        <w:tc>
          <w:tcPr>
            <w:tcW w:w="1276" w:type="dxa"/>
            <w:vAlign w:val="center"/>
          </w:tcPr>
          <w:p w14:paraId="61D39B8A" w14:textId="77777777" w:rsidR="00AC5CB2" w:rsidRPr="001F688D" w:rsidRDefault="00AC5CB2" w:rsidP="00770BDE">
            <w:pPr>
              <w:spacing w:before="60" w:line="360" w:lineRule="auto"/>
              <w:jc w:val="center"/>
            </w:pPr>
            <w:r w:rsidRPr="001F688D">
              <w:fldChar w:fldCharType="begin">
                <w:ffData>
                  <w:name w:val="Kontrollkästchen2"/>
                  <w:enabled/>
                  <w:calcOnExit w:val="0"/>
                  <w:checkBox>
                    <w:sizeAuto/>
                    <w:default w:val="0"/>
                  </w:checkBox>
                </w:ffData>
              </w:fldChar>
            </w:r>
            <w:bookmarkStart w:id="13" w:name="Kontrollkästchen2"/>
            <w:r w:rsidRPr="001F688D">
              <w:instrText xml:space="preserve"> FORMCHECKBOX </w:instrText>
            </w:r>
            <w:r w:rsidR="003734DB">
              <w:fldChar w:fldCharType="separate"/>
            </w:r>
            <w:r w:rsidRPr="001F688D">
              <w:fldChar w:fldCharType="end"/>
            </w:r>
            <w:bookmarkEnd w:id="13"/>
          </w:p>
        </w:tc>
      </w:tr>
      <w:tr w:rsidR="00AC5CB2" w:rsidRPr="001F688D" w14:paraId="56D1803B" w14:textId="77777777" w:rsidTr="00770BDE">
        <w:trPr>
          <w:jc w:val="center"/>
        </w:trPr>
        <w:tc>
          <w:tcPr>
            <w:tcW w:w="8330" w:type="dxa"/>
          </w:tcPr>
          <w:p w14:paraId="204E057D" w14:textId="77777777" w:rsidR="00AC5CB2" w:rsidRPr="001F688D" w:rsidRDefault="00AC5CB2" w:rsidP="00AC5CB2">
            <w:pPr>
              <w:pStyle w:val="Listenabsatz"/>
              <w:numPr>
                <w:ilvl w:val="0"/>
                <w:numId w:val="11"/>
              </w:numPr>
              <w:spacing w:before="60" w:line="360" w:lineRule="auto"/>
              <w:ind w:left="232" w:hanging="232"/>
              <w:jc w:val="both"/>
            </w:pPr>
            <w:r w:rsidRPr="001F688D">
              <w:t>Annex 2 to the contract pursuant to DE-UZ 84a (3.2.2) (Formulation)</w:t>
            </w:r>
          </w:p>
        </w:tc>
        <w:tc>
          <w:tcPr>
            <w:tcW w:w="1276" w:type="dxa"/>
            <w:vAlign w:val="center"/>
          </w:tcPr>
          <w:p w14:paraId="6C3560DA"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5B60CA29" w14:textId="77777777" w:rsidTr="00770BDE">
        <w:trPr>
          <w:jc w:val="center"/>
        </w:trPr>
        <w:tc>
          <w:tcPr>
            <w:tcW w:w="8330" w:type="dxa"/>
          </w:tcPr>
          <w:p w14:paraId="3E314D25"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Safety data sheet for the sanitary additive (3.2.2)</w:t>
            </w:r>
          </w:p>
        </w:tc>
        <w:tc>
          <w:tcPr>
            <w:tcW w:w="1276" w:type="dxa"/>
            <w:vAlign w:val="center"/>
          </w:tcPr>
          <w:p w14:paraId="04696BFF"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09433402" w14:textId="77777777" w:rsidTr="00770BDE">
        <w:trPr>
          <w:jc w:val="center"/>
        </w:trPr>
        <w:tc>
          <w:tcPr>
            <w:tcW w:w="8330" w:type="dxa"/>
          </w:tcPr>
          <w:p w14:paraId="2B386D66"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Information on the dosage of the preservatives required to preserve the end product (3.2.3)</w:t>
            </w:r>
          </w:p>
        </w:tc>
        <w:tc>
          <w:tcPr>
            <w:tcW w:w="1276" w:type="dxa"/>
            <w:vAlign w:val="center"/>
          </w:tcPr>
          <w:p w14:paraId="2EC9A81D"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0EE1BE3E" w14:textId="77777777" w:rsidTr="00770BDE">
        <w:trPr>
          <w:jc w:val="center"/>
        </w:trPr>
        <w:tc>
          <w:tcPr>
            <w:tcW w:w="8330" w:type="dxa"/>
          </w:tcPr>
          <w:p w14:paraId="722EF189"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Safety data sheets for all ingredients in the product (3.3.1)</w:t>
            </w:r>
          </w:p>
        </w:tc>
        <w:tc>
          <w:tcPr>
            <w:tcW w:w="1276" w:type="dxa"/>
            <w:vAlign w:val="center"/>
          </w:tcPr>
          <w:p w14:paraId="0DF5198C"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28CDEE7E" w14:textId="77777777" w:rsidTr="00770BDE">
        <w:trPr>
          <w:jc w:val="center"/>
        </w:trPr>
        <w:tc>
          <w:tcPr>
            <w:tcW w:w="8330" w:type="dxa"/>
          </w:tcPr>
          <w:p w14:paraId="054C14B6" w14:textId="77777777" w:rsidR="00AC5CB2" w:rsidRPr="001F688D" w:rsidRDefault="00AC5CB2" w:rsidP="00AC5CB2">
            <w:pPr>
              <w:pStyle w:val="Listenabsatz"/>
              <w:numPr>
                <w:ilvl w:val="0"/>
                <w:numId w:val="11"/>
              </w:numPr>
              <w:spacing w:before="60" w:line="360" w:lineRule="auto"/>
              <w:ind w:left="232" w:hanging="232"/>
              <w:rPr>
                <w:rFonts w:cs="Arial"/>
                <w:szCs w:val="22"/>
              </w:rPr>
            </w:pPr>
            <w:r w:rsidRPr="001F688D">
              <w:t>If relevant, information from literature or other sources or corresponding test results to verify that the surfactants are biodegradable under aerobic conditions (3.3.2)</w:t>
            </w:r>
          </w:p>
        </w:tc>
        <w:tc>
          <w:tcPr>
            <w:tcW w:w="1276" w:type="dxa"/>
            <w:vAlign w:val="center"/>
          </w:tcPr>
          <w:p w14:paraId="52C348D5"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60BFF14A" w14:textId="77777777" w:rsidTr="00770BDE">
        <w:trPr>
          <w:jc w:val="center"/>
        </w:trPr>
        <w:tc>
          <w:tcPr>
            <w:tcW w:w="8330" w:type="dxa"/>
          </w:tcPr>
          <w:p w14:paraId="7F432CD0" w14:textId="77777777" w:rsidR="00AC5CB2" w:rsidRPr="001F688D" w:rsidRDefault="00AC5CB2" w:rsidP="00AC5CB2">
            <w:pPr>
              <w:pStyle w:val="Listenabsatz"/>
              <w:numPr>
                <w:ilvl w:val="0"/>
                <w:numId w:val="11"/>
              </w:numPr>
              <w:spacing w:before="60" w:line="360" w:lineRule="auto"/>
              <w:ind w:left="232" w:hanging="232"/>
              <w:jc w:val="both"/>
            </w:pPr>
            <w:r w:rsidRPr="001F688D">
              <w:t>Test certificate according to Paragraph 3.3.3</w:t>
            </w:r>
          </w:p>
        </w:tc>
        <w:tc>
          <w:tcPr>
            <w:tcW w:w="1276" w:type="dxa"/>
            <w:vAlign w:val="center"/>
          </w:tcPr>
          <w:p w14:paraId="4F1B2DFC" w14:textId="77777777" w:rsidR="00AC5CB2" w:rsidRPr="001F688D" w:rsidRDefault="00AC5CB2" w:rsidP="00770BDE">
            <w:pPr>
              <w:spacing w:before="60" w:line="360" w:lineRule="auto"/>
              <w:jc w:val="center"/>
            </w:pPr>
            <w:r w:rsidRPr="001F688D">
              <w:fldChar w:fldCharType="begin">
                <w:ffData>
                  <w:name w:val="Kontrollkästchen4"/>
                  <w:enabled/>
                  <w:calcOnExit w:val="0"/>
                  <w:checkBox>
                    <w:sizeAuto/>
                    <w:default w:val="0"/>
                  </w:checkBox>
                </w:ffData>
              </w:fldChar>
            </w:r>
            <w:bookmarkStart w:id="14" w:name="Kontrollkästchen4"/>
            <w:r w:rsidRPr="001F688D">
              <w:instrText xml:space="preserve"> FORMCHECKBOX </w:instrText>
            </w:r>
            <w:r w:rsidR="003734DB">
              <w:fldChar w:fldCharType="separate"/>
            </w:r>
            <w:r w:rsidRPr="001F688D">
              <w:fldChar w:fldCharType="end"/>
            </w:r>
            <w:bookmarkEnd w:id="14"/>
          </w:p>
        </w:tc>
      </w:tr>
      <w:tr w:rsidR="00AC5CB2" w:rsidRPr="001F688D" w14:paraId="09BE15C0" w14:textId="77777777" w:rsidTr="00770BDE">
        <w:trPr>
          <w:jc w:val="center"/>
        </w:trPr>
        <w:tc>
          <w:tcPr>
            <w:tcW w:w="8330" w:type="dxa"/>
          </w:tcPr>
          <w:p w14:paraId="3E988E6E" w14:textId="77777777" w:rsidR="00AC5CB2" w:rsidRPr="001F688D" w:rsidRDefault="00AC5CB2" w:rsidP="00AC5CB2">
            <w:pPr>
              <w:pStyle w:val="Listenabsatz"/>
              <w:numPr>
                <w:ilvl w:val="0"/>
                <w:numId w:val="11"/>
              </w:numPr>
              <w:spacing w:before="60" w:line="360" w:lineRule="auto"/>
              <w:ind w:left="232" w:hanging="232"/>
              <w:jc w:val="both"/>
            </w:pPr>
            <w:r w:rsidRPr="001F688D">
              <w:t>Annex 3 to the contract pursuant to DE-UZ 84a (3.4)</w:t>
            </w:r>
          </w:p>
        </w:tc>
        <w:tc>
          <w:tcPr>
            <w:tcW w:w="1276" w:type="dxa"/>
            <w:vAlign w:val="center"/>
          </w:tcPr>
          <w:p w14:paraId="7D9CF709" w14:textId="77777777" w:rsidR="00AC5CB2" w:rsidRPr="001F688D" w:rsidRDefault="00AC5CB2" w:rsidP="00770BDE">
            <w:pPr>
              <w:spacing w:before="60" w:line="360" w:lineRule="auto"/>
              <w:jc w:val="center"/>
            </w:pPr>
            <w:r w:rsidRPr="001F688D">
              <w:fldChar w:fldCharType="begin">
                <w:ffData>
                  <w:name w:val="Kontrollkästchen5"/>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4AAE7D69" w14:textId="77777777" w:rsidTr="00770BDE">
        <w:trPr>
          <w:jc w:val="center"/>
        </w:trPr>
        <w:tc>
          <w:tcPr>
            <w:tcW w:w="8330" w:type="dxa"/>
          </w:tcPr>
          <w:p w14:paraId="5C55156E" w14:textId="77777777" w:rsidR="00AC5CB2" w:rsidRPr="001F688D" w:rsidRDefault="00AC5CB2" w:rsidP="00AC5CB2">
            <w:pPr>
              <w:pStyle w:val="Listenabsatz"/>
              <w:numPr>
                <w:ilvl w:val="0"/>
                <w:numId w:val="11"/>
              </w:numPr>
              <w:spacing w:before="60" w:line="360" w:lineRule="auto"/>
              <w:ind w:left="232" w:hanging="232"/>
              <w:rPr>
                <w:rFonts w:cs="Arial"/>
                <w:szCs w:val="22"/>
              </w:rPr>
            </w:pPr>
            <w:r w:rsidRPr="001F688D">
              <w:t>Verification that the suppliers of primary/intermediate products have been requested to submit information on the content of impurities (up to 0.010% by mass) and by-products</w:t>
            </w:r>
          </w:p>
        </w:tc>
        <w:tc>
          <w:tcPr>
            <w:tcW w:w="1276" w:type="dxa"/>
            <w:vAlign w:val="center"/>
          </w:tcPr>
          <w:p w14:paraId="4723FD05" w14:textId="77777777" w:rsidR="00AC5CB2" w:rsidRPr="001F688D" w:rsidRDefault="00AC5CB2" w:rsidP="00770BDE">
            <w:pPr>
              <w:spacing w:before="60" w:line="360" w:lineRule="auto"/>
              <w:jc w:val="center"/>
            </w:pPr>
            <w:r w:rsidRPr="001F688D">
              <w:fldChar w:fldCharType="begin">
                <w:ffData>
                  <w:name w:val="Kontrollkästchen3"/>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4B431AB0" w14:textId="77777777" w:rsidTr="00770BDE">
        <w:trPr>
          <w:jc w:val="center"/>
        </w:trPr>
        <w:tc>
          <w:tcPr>
            <w:tcW w:w="8330" w:type="dxa"/>
          </w:tcPr>
          <w:p w14:paraId="230E01C2" w14:textId="77777777" w:rsidR="00AC5CB2" w:rsidRPr="001F688D" w:rsidRDefault="00AC5CB2" w:rsidP="00AC5CB2">
            <w:pPr>
              <w:pStyle w:val="Listenabsatz"/>
              <w:numPr>
                <w:ilvl w:val="0"/>
                <w:numId w:val="11"/>
              </w:numPr>
              <w:spacing w:before="60" w:line="360" w:lineRule="auto"/>
              <w:ind w:left="232" w:hanging="232"/>
              <w:jc w:val="both"/>
            </w:pPr>
            <w:r w:rsidRPr="001F688D">
              <w:t>Annex 4 to the contract pursuant to DE-UZ 84a (3.6)</w:t>
            </w:r>
          </w:p>
        </w:tc>
        <w:tc>
          <w:tcPr>
            <w:tcW w:w="1276" w:type="dxa"/>
            <w:vAlign w:val="center"/>
          </w:tcPr>
          <w:p w14:paraId="6B66366E" w14:textId="77777777" w:rsidR="00AC5CB2" w:rsidRPr="001F688D" w:rsidRDefault="00AC5CB2" w:rsidP="00770BDE">
            <w:pPr>
              <w:spacing w:before="60" w:line="360" w:lineRule="auto"/>
              <w:jc w:val="center"/>
            </w:pPr>
            <w:r w:rsidRPr="001F688D">
              <w:fldChar w:fldCharType="begin">
                <w:ffData>
                  <w:name w:val="Kontrollkästchen11"/>
                  <w:enabled/>
                  <w:calcOnExit w:val="0"/>
                  <w:checkBox>
                    <w:sizeAuto/>
                    <w:default w:val="0"/>
                  </w:checkBox>
                </w:ffData>
              </w:fldChar>
            </w:r>
            <w:bookmarkStart w:id="15" w:name="Kontrollkästchen11"/>
            <w:r w:rsidRPr="001F688D">
              <w:instrText xml:space="preserve"> FORMCHECKBOX </w:instrText>
            </w:r>
            <w:r w:rsidR="003734DB">
              <w:fldChar w:fldCharType="separate"/>
            </w:r>
            <w:r w:rsidRPr="001F688D">
              <w:fldChar w:fldCharType="end"/>
            </w:r>
            <w:bookmarkEnd w:id="15"/>
          </w:p>
        </w:tc>
      </w:tr>
      <w:tr w:rsidR="00AC5CB2" w:rsidRPr="001F688D" w14:paraId="372E939F" w14:textId="77777777" w:rsidTr="00770BDE">
        <w:trPr>
          <w:jc w:val="center"/>
        </w:trPr>
        <w:tc>
          <w:tcPr>
            <w:tcW w:w="8330" w:type="dxa"/>
          </w:tcPr>
          <w:p w14:paraId="6863AE2C" w14:textId="77777777" w:rsidR="00AC5CB2" w:rsidRPr="001F688D" w:rsidRDefault="00AC5CB2" w:rsidP="00AC5CB2">
            <w:pPr>
              <w:pStyle w:val="Listenabsatz"/>
              <w:numPr>
                <w:ilvl w:val="0"/>
                <w:numId w:val="11"/>
              </w:numPr>
              <w:spacing w:before="60" w:line="360" w:lineRule="auto"/>
              <w:ind w:left="232" w:hanging="232"/>
              <w:jc w:val="both"/>
            </w:pPr>
            <w:r w:rsidRPr="001F688D">
              <w:t>Annex 5 to the contract pursuant to DE-UZ 84a (3.7)</w:t>
            </w:r>
          </w:p>
        </w:tc>
        <w:tc>
          <w:tcPr>
            <w:tcW w:w="1276" w:type="dxa"/>
            <w:vAlign w:val="center"/>
          </w:tcPr>
          <w:p w14:paraId="531DBED3" w14:textId="77777777" w:rsidR="00AC5CB2" w:rsidRPr="001F688D" w:rsidRDefault="00AC5CB2" w:rsidP="00770BDE">
            <w:pPr>
              <w:spacing w:before="60" w:line="360" w:lineRule="auto"/>
              <w:jc w:val="center"/>
            </w:pPr>
            <w:r w:rsidRPr="001F688D">
              <w:fldChar w:fldCharType="begin">
                <w:ffData>
                  <w:name w:val="Kontrollkästchen12"/>
                  <w:enabled/>
                  <w:calcOnExit w:val="0"/>
                  <w:checkBox>
                    <w:sizeAuto/>
                    <w:default w:val="0"/>
                  </w:checkBox>
                </w:ffData>
              </w:fldChar>
            </w:r>
            <w:bookmarkStart w:id="16" w:name="Kontrollkästchen12"/>
            <w:r w:rsidRPr="001F688D">
              <w:instrText xml:space="preserve"> FORMCHECKBOX </w:instrText>
            </w:r>
            <w:r w:rsidR="003734DB">
              <w:fldChar w:fldCharType="separate"/>
            </w:r>
            <w:r w:rsidRPr="001F688D">
              <w:fldChar w:fldCharType="end"/>
            </w:r>
            <w:bookmarkEnd w:id="16"/>
          </w:p>
        </w:tc>
      </w:tr>
      <w:tr w:rsidR="00AC5CB2" w:rsidRPr="001F688D" w14:paraId="08D27D3F" w14:textId="77777777" w:rsidTr="00770BDE">
        <w:trPr>
          <w:jc w:val="center"/>
        </w:trPr>
        <w:tc>
          <w:tcPr>
            <w:tcW w:w="8330" w:type="dxa"/>
          </w:tcPr>
          <w:p w14:paraId="10E214FB"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 xml:space="preserve">If relevant, documentation that verifies that the colourant is approved for use in </w:t>
            </w:r>
            <w:r w:rsidRPr="001F688D">
              <w:lastRenderedPageBreak/>
              <w:t>foodstuffs (3.9)</w:t>
            </w:r>
          </w:p>
        </w:tc>
        <w:tc>
          <w:tcPr>
            <w:tcW w:w="1276" w:type="dxa"/>
            <w:vAlign w:val="center"/>
          </w:tcPr>
          <w:p w14:paraId="4C4B88F8" w14:textId="77777777" w:rsidR="00AC5CB2" w:rsidRPr="001F688D" w:rsidRDefault="00AC5CB2" w:rsidP="00770BDE">
            <w:pPr>
              <w:spacing w:before="60" w:line="360" w:lineRule="auto"/>
              <w:jc w:val="center"/>
            </w:pPr>
            <w:r w:rsidRPr="001F688D">
              <w:lastRenderedPageBreak/>
              <w:fldChar w:fldCharType="begin">
                <w:ffData>
                  <w:name w:val="Kontrollkästchen12"/>
                  <w:enabled/>
                  <w:calcOnExit w:val="0"/>
                  <w:checkBox>
                    <w:sizeAuto/>
                    <w:default w:val="0"/>
                  </w:checkBox>
                </w:ffData>
              </w:fldChar>
            </w:r>
            <w:r w:rsidRPr="001F688D">
              <w:instrText xml:space="preserve"> FORMCHECKBOX </w:instrText>
            </w:r>
            <w:r w:rsidR="003734DB">
              <w:fldChar w:fldCharType="separate"/>
            </w:r>
            <w:r w:rsidRPr="001F688D">
              <w:fldChar w:fldCharType="end"/>
            </w:r>
          </w:p>
        </w:tc>
      </w:tr>
      <w:tr w:rsidR="00AC5CB2" w:rsidRPr="001F688D" w14:paraId="0A756E1C" w14:textId="77777777" w:rsidTr="00770BDE">
        <w:trPr>
          <w:jc w:val="center"/>
        </w:trPr>
        <w:tc>
          <w:tcPr>
            <w:tcW w:w="8330" w:type="dxa"/>
          </w:tcPr>
          <w:p w14:paraId="0E1B83A0" w14:textId="77777777" w:rsidR="00AC5CB2" w:rsidRPr="001F688D" w:rsidRDefault="00AC5CB2" w:rsidP="00AC5CB2">
            <w:pPr>
              <w:pStyle w:val="Listenabsatz"/>
              <w:numPr>
                <w:ilvl w:val="0"/>
                <w:numId w:val="11"/>
              </w:numPr>
              <w:spacing w:before="60" w:line="360" w:lineRule="auto"/>
              <w:ind w:left="232" w:hanging="232"/>
              <w:jc w:val="both"/>
            </w:pPr>
            <w:r w:rsidRPr="001F688D">
              <w:t>Label, instructions for use or other appropriate product information according to Paragraph 3.12</w:t>
            </w:r>
          </w:p>
        </w:tc>
        <w:tc>
          <w:tcPr>
            <w:tcW w:w="1276" w:type="dxa"/>
            <w:vAlign w:val="center"/>
          </w:tcPr>
          <w:p w14:paraId="50954B45" w14:textId="77777777" w:rsidR="00AC5CB2" w:rsidRPr="001F688D" w:rsidRDefault="00AC5CB2" w:rsidP="00770BDE">
            <w:pPr>
              <w:spacing w:before="60" w:line="360" w:lineRule="auto"/>
              <w:jc w:val="center"/>
            </w:pPr>
            <w:r w:rsidRPr="001F688D">
              <w:fldChar w:fldCharType="begin">
                <w:ffData>
                  <w:name w:val="Kontrollkästchen14"/>
                  <w:enabled/>
                  <w:calcOnExit w:val="0"/>
                  <w:checkBox>
                    <w:sizeAuto/>
                    <w:default w:val="0"/>
                  </w:checkBox>
                </w:ffData>
              </w:fldChar>
            </w:r>
            <w:bookmarkStart w:id="17" w:name="Kontrollkästchen14"/>
            <w:r w:rsidRPr="001F688D">
              <w:instrText xml:space="preserve"> FORMCHECKBOX </w:instrText>
            </w:r>
            <w:r w:rsidR="003734DB">
              <w:fldChar w:fldCharType="separate"/>
            </w:r>
            <w:r w:rsidRPr="001F688D">
              <w:fldChar w:fldCharType="end"/>
            </w:r>
            <w:bookmarkEnd w:id="17"/>
          </w:p>
        </w:tc>
      </w:tr>
      <w:tr w:rsidR="00AC5CB2" w:rsidRPr="001F688D" w14:paraId="16F62645" w14:textId="77777777" w:rsidTr="00770BDE">
        <w:trPr>
          <w:jc w:val="center"/>
        </w:trPr>
        <w:tc>
          <w:tcPr>
            <w:tcW w:w="8330" w:type="dxa"/>
          </w:tcPr>
          <w:p w14:paraId="560DEC0E" w14:textId="77777777" w:rsidR="00AC5CB2" w:rsidRPr="001F688D" w:rsidRDefault="00AC5CB2" w:rsidP="00AC5CB2">
            <w:pPr>
              <w:pStyle w:val="Listenabsatz"/>
              <w:numPr>
                <w:ilvl w:val="0"/>
                <w:numId w:val="11"/>
              </w:numPr>
              <w:spacing w:before="60" w:line="360" w:lineRule="auto"/>
              <w:ind w:left="232" w:hanging="232"/>
              <w:jc w:val="both"/>
              <w:rPr>
                <w:rFonts w:cs="Arial"/>
                <w:szCs w:val="22"/>
              </w:rPr>
            </w:pPr>
            <w:r w:rsidRPr="001F688D">
              <w:t xml:space="preserve">Test certificate according to Paragraph 3.13 </w:t>
            </w:r>
          </w:p>
        </w:tc>
        <w:tc>
          <w:tcPr>
            <w:tcW w:w="1276" w:type="dxa"/>
            <w:vAlign w:val="center"/>
          </w:tcPr>
          <w:p w14:paraId="6F25C4A7" w14:textId="77777777" w:rsidR="00AC5CB2" w:rsidRPr="001F688D" w:rsidRDefault="00AC5CB2" w:rsidP="00770BDE">
            <w:pPr>
              <w:spacing w:before="60" w:line="360" w:lineRule="auto"/>
              <w:jc w:val="center"/>
              <w:rPr>
                <w:rFonts w:cs="Arial"/>
                <w:szCs w:val="22"/>
              </w:rPr>
            </w:pPr>
            <w:r w:rsidRPr="001F688D">
              <w:rPr>
                <w:rFonts w:cs="Arial"/>
              </w:rPr>
              <w:fldChar w:fldCharType="begin">
                <w:ffData>
                  <w:name w:val="Kontrollkästchen13"/>
                  <w:enabled/>
                  <w:calcOnExit w:val="0"/>
                  <w:checkBox>
                    <w:sizeAuto/>
                    <w:default w:val="0"/>
                  </w:checkBox>
                </w:ffData>
              </w:fldChar>
            </w:r>
            <w:r w:rsidRPr="001F688D">
              <w:rPr>
                <w:rFonts w:cs="Arial"/>
              </w:rPr>
              <w:instrText xml:space="preserve"> FORMCHECKBOX </w:instrText>
            </w:r>
            <w:r w:rsidR="003734DB">
              <w:rPr>
                <w:rFonts w:cs="Arial"/>
              </w:rPr>
            </w:r>
            <w:r w:rsidR="003734DB">
              <w:rPr>
                <w:rFonts w:cs="Arial"/>
              </w:rPr>
              <w:fldChar w:fldCharType="separate"/>
            </w:r>
            <w:r w:rsidRPr="001F688D">
              <w:rPr>
                <w:rFonts w:cs="Arial"/>
              </w:rPr>
              <w:fldChar w:fldCharType="end"/>
            </w:r>
          </w:p>
        </w:tc>
      </w:tr>
    </w:tbl>
    <w:p w14:paraId="7C26D23F" w14:textId="77777777" w:rsidR="000343BE" w:rsidRPr="001F688D" w:rsidRDefault="000343BE" w:rsidP="000343BE">
      <w:pPr>
        <w:rPr>
          <w:rFonts w:cs="Arial"/>
          <w:szCs w:val="22"/>
        </w:rPr>
      </w:pPr>
    </w:p>
    <w:p w14:paraId="785CA907" w14:textId="77777777" w:rsidR="000343BE" w:rsidRPr="001F688D" w:rsidRDefault="000343BE" w:rsidP="000343BE">
      <w:pPr>
        <w:spacing w:after="120"/>
        <w:jc w:val="both"/>
        <w:rPr>
          <w:rFonts w:cs="Arial"/>
          <w:szCs w:val="22"/>
        </w:rPr>
      </w:pPr>
    </w:p>
    <w:p w14:paraId="15CD7259" w14:textId="77777777" w:rsidR="000343BE" w:rsidRPr="001F688D" w:rsidRDefault="000343BE" w:rsidP="000343BE">
      <w:pPr>
        <w:rPr>
          <w:rFonts w:cs="Arial"/>
          <w:szCs w:val="22"/>
        </w:rPr>
      </w:pPr>
    </w:p>
    <w:p w14:paraId="05A87D1A" w14:textId="77777777" w:rsidR="000343BE" w:rsidRPr="001F688D" w:rsidRDefault="000343BE" w:rsidP="000343BE">
      <w:pPr>
        <w:rPr>
          <w:rFonts w:cs="Arial"/>
          <w:szCs w:val="22"/>
        </w:rPr>
      </w:pPr>
    </w:p>
    <w:p w14:paraId="2BD40DD6" w14:textId="77777777" w:rsidR="000343BE" w:rsidRPr="001F688D" w:rsidRDefault="000343BE" w:rsidP="000343BE">
      <w:pPr>
        <w:rPr>
          <w:rFonts w:cs="Arial"/>
          <w:szCs w:val="22"/>
        </w:rPr>
      </w:pPr>
    </w:p>
    <w:p w14:paraId="012397D9" w14:textId="77777777" w:rsidR="000343BE" w:rsidRPr="001F688D" w:rsidRDefault="000343BE" w:rsidP="000343BE">
      <w:pPr>
        <w:rPr>
          <w:rFonts w:cs="Arial"/>
          <w:szCs w:val="22"/>
        </w:rPr>
      </w:pPr>
    </w:p>
    <w:p w14:paraId="4D850FC9" w14:textId="77777777" w:rsidR="000343BE" w:rsidRPr="001F688D" w:rsidRDefault="000343BE" w:rsidP="000343BE">
      <w:pPr>
        <w:rPr>
          <w:rFonts w:cs="Arial"/>
          <w:szCs w:val="22"/>
        </w:rPr>
      </w:pPr>
    </w:p>
    <w:p w14:paraId="04BB7574" w14:textId="0BC59209" w:rsidR="000343BE" w:rsidRPr="001F688D" w:rsidRDefault="000343BE" w:rsidP="000343BE">
      <w:pPr>
        <w:tabs>
          <w:tab w:val="left" w:pos="851"/>
        </w:tabs>
        <w:ind w:left="5954" w:hanging="5954"/>
        <w:rPr>
          <w:rFonts w:cs="Arial"/>
          <w:szCs w:val="22"/>
        </w:rPr>
      </w:pPr>
      <w:r w:rsidRPr="001F688D">
        <w:t>Location:</w:t>
      </w:r>
      <w:r w:rsidRPr="001F688D">
        <w:rPr>
          <w:rFonts w:cs="Arial"/>
        </w:rPr>
        <w:fldChar w:fldCharType="begin" w:fldLock="1">
          <w:ffData>
            <w:name w:val="Text1"/>
            <w:enabled/>
            <w:calcOnExit w:val="0"/>
            <w:textInput>
              <w:maxLength w:val="30"/>
            </w:textInput>
          </w:ffData>
        </w:fldChar>
      </w:r>
      <w:bookmarkStart w:id="18" w:name="Text1"/>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18"/>
      <w:r w:rsidRPr="001F688D">
        <w:tab/>
        <w:t>Applicant:</w:t>
      </w:r>
    </w:p>
    <w:p w14:paraId="2695A382" w14:textId="77777777" w:rsidR="000343BE" w:rsidRPr="001F688D" w:rsidRDefault="000343BE" w:rsidP="000343BE">
      <w:pPr>
        <w:tabs>
          <w:tab w:val="left" w:pos="851"/>
        </w:tabs>
        <w:ind w:left="5954" w:hanging="5954"/>
        <w:rPr>
          <w:rFonts w:cs="Arial"/>
          <w:szCs w:val="22"/>
        </w:rPr>
      </w:pPr>
    </w:p>
    <w:p w14:paraId="55AE66D3" w14:textId="77777777" w:rsidR="00D41A9A" w:rsidRPr="001F688D" w:rsidRDefault="000343BE" w:rsidP="00AC5CB2">
      <w:pPr>
        <w:tabs>
          <w:tab w:val="left" w:pos="851"/>
        </w:tabs>
        <w:ind w:left="5954" w:hanging="5954"/>
        <w:rPr>
          <w:rFonts w:cs="Arial"/>
          <w:szCs w:val="22"/>
        </w:rPr>
      </w:pPr>
      <w:r w:rsidRPr="001F688D">
        <w:t>Date:</w:t>
      </w:r>
      <w:r w:rsidRPr="001F688D">
        <w:tab/>
      </w:r>
      <w:r w:rsidRPr="001F688D">
        <w:rPr>
          <w:rFonts w:cs="Arial"/>
        </w:rPr>
        <w:fldChar w:fldCharType="begin" w:fldLock="1">
          <w:ffData>
            <w:name w:val="Text2"/>
            <w:enabled/>
            <w:calcOnExit w:val="0"/>
            <w:textInput>
              <w:maxLength w:val="15"/>
            </w:textInput>
          </w:ffData>
        </w:fldChar>
      </w:r>
      <w:bookmarkStart w:id="19" w:name="Text2"/>
      <w:r w:rsidRPr="001F688D">
        <w:rPr>
          <w:rFonts w:cs="Arial"/>
        </w:rPr>
        <w:instrText xml:space="preserve"> FORMTEXT </w:instrText>
      </w:r>
      <w:r w:rsidRPr="001F688D">
        <w:rPr>
          <w:rFonts w:cs="Arial"/>
        </w:rPr>
      </w:r>
      <w:r w:rsidRPr="001F688D">
        <w:rPr>
          <w:rFonts w:cs="Arial"/>
        </w:rPr>
        <w:fldChar w:fldCharType="separate"/>
      </w:r>
      <w:r w:rsidRPr="001F688D">
        <w:t>     </w:t>
      </w:r>
      <w:r w:rsidRPr="001F688D">
        <w:rPr>
          <w:rFonts w:cs="Arial"/>
        </w:rPr>
        <w:fldChar w:fldCharType="end"/>
      </w:r>
      <w:bookmarkEnd w:id="19"/>
      <w:r w:rsidRPr="001F688D">
        <w:tab/>
        <w:t>(Legally binding signature</w:t>
      </w:r>
      <w:r w:rsidRPr="001F688D">
        <w:br/>
        <w:t>and company stamp)</w:t>
      </w:r>
    </w:p>
    <w:sectPr w:rsidR="00D41A9A" w:rsidRPr="001F688D" w:rsidSect="000343BE">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561D2" w14:textId="77777777" w:rsidR="00E83324" w:rsidRDefault="00E83324">
      <w:r>
        <w:separator/>
      </w:r>
    </w:p>
  </w:endnote>
  <w:endnote w:type="continuationSeparator" w:id="0">
    <w:p w14:paraId="43FE227C" w14:textId="77777777" w:rsidR="00E83324" w:rsidRDefault="00E83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42620" w14:textId="77777777" w:rsidR="000343BE" w:rsidRDefault="000343BE" w:rsidP="000343BE">
    <w:pPr>
      <w:pStyle w:val="Fuzeile"/>
      <w:ind w:right="360"/>
    </w:pPr>
    <w:r>
      <w:t>Annex 1 to the contract</w:t>
    </w:r>
    <w:r>
      <w:tab/>
    </w:r>
    <w:r w:rsidRPr="000E4C21">
      <w:rPr>
        <w:rStyle w:val="Seitenzahl"/>
        <w:rFonts w:cs="Arial"/>
      </w:rPr>
      <w:fldChar w:fldCharType="begin"/>
    </w:r>
    <w:r w:rsidRPr="000E4C21">
      <w:rPr>
        <w:rStyle w:val="Seitenzahl"/>
        <w:rFonts w:cs="Arial"/>
      </w:rPr>
      <w:instrText xml:space="preserve"> PAGE </w:instrText>
    </w:r>
    <w:r w:rsidRPr="000E4C21">
      <w:rPr>
        <w:rStyle w:val="Seitenzahl"/>
        <w:rFonts w:cs="Arial"/>
      </w:rPr>
      <w:fldChar w:fldCharType="separate"/>
    </w:r>
    <w:r w:rsidR="00CF723D">
      <w:rPr>
        <w:rStyle w:val="Seitenzahl"/>
        <w:rFonts w:cs="Arial"/>
      </w:rPr>
      <w:t>2</w:t>
    </w:r>
    <w:r w:rsidRPr="000E4C21">
      <w:rPr>
        <w:rStyle w:val="Seitenzahl"/>
        <w:rFonts w:cs="Arial"/>
      </w:rPr>
      <w:fldChar w:fldCharType="end"/>
    </w:r>
    <w:r>
      <w:t>/</w:t>
    </w:r>
    <w:r w:rsidR="008938F3">
      <w:rPr>
        <w:rFonts w:cs="Arial"/>
      </w:rPr>
      <w:fldChar w:fldCharType="begin"/>
    </w:r>
    <w:r w:rsidR="008938F3">
      <w:rPr>
        <w:rFonts w:cs="Arial"/>
      </w:rPr>
      <w:instrText xml:space="preserve"> NUMPAGES  \* Arabic  \* MERGEFORMAT </w:instrText>
    </w:r>
    <w:r w:rsidR="008938F3">
      <w:rPr>
        <w:rFonts w:cs="Arial"/>
      </w:rPr>
      <w:fldChar w:fldCharType="separate"/>
    </w:r>
    <w:r w:rsidR="00CF723D">
      <w:rPr>
        <w:rFonts w:cs="Arial"/>
      </w:rPr>
      <w:t>2</w:t>
    </w:r>
    <w:r w:rsidR="008938F3">
      <w:rPr>
        <w:rFonts w:cs="Arial"/>
      </w:rPr>
      <w:fldChar w:fldCharType="end"/>
    </w:r>
    <w:r>
      <w:tab/>
      <w:t xml:space="preserve">DE-UZ 84a Edition </w:t>
    </w:r>
    <w:r>
      <w:rPr>
        <w:rStyle w:val="Seitenzahl"/>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A2A31" w14:textId="77777777" w:rsidR="00E83324" w:rsidRDefault="00E83324">
      <w:r>
        <w:separator/>
      </w:r>
    </w:p>
  </w:footnote>
  <w:footnote w:type="continuationSeparator" w:id="0">
    <w:p w14:paraId="0F317E1A" w14:textId="77777777" w:rsidR="00E83324" w:rsidRDefault="00E83324">
      <w:r>
        <w:continuationSeparator/>
      </w:r>
    </w:p>
  </w:footnote>
  <w:footnote w:id="1">
    <w:p w14:paraId="2F72A0CB" w14:textId="77777777" w:rsidR="000343BE" w:rsidRDefault="000343BE" w:rsidP="000343BE">
      <w:pPr>
        <w:pStyle w:val="Funotentext"/>
      </w:pPr>
      <w:r>
        <w:rPr>
          <w:rStyle w:val="Funotenzeichen"/>
        </w:rPr>
        <w:t>1</w:t>
      </w:r>
      <w:r>
        <w:t xml:space="preserve"> </w:t>
      </w:r>
      <w:r>
        <w:tab/>
        <w:t>Annex 1 must be completed for each different product designation.</w:t>
      </w:r>
    </w:p>
  </w:footnote>
  <w:footnote w:id="2">
    <w:p w14:paraId="5B8F5B18" w14:textId="77777777" w:rsidR="00870888" w:rsidRPr="0011497C" w:rsidRDefault="00870888" w:rsidP="001F688D">
      <w:pPr>
        <w:pStyle w:val="Funotentext"/>
        <w:ind w:left="567" w:hanging="567"/>
      </w:pPr>
      <w:r>
        <w:rPr>
          <w:rStyle w:val="Funotenzeichen"/>
        </w:rPr>
        <w:footnoteRef/>
      </w:r>
      <w:r>
        <w:t xml:space="preserve"> </w:t>
      </w:r>
      <w:r>
        <w:tab/>
      </w:r>
      <w:bookmarkStart w:id="2" w:name="_Hlk55385060"/>
      <w:r>
        <w:t>According to Commission Regulation (EU) 1129/2011 of 11 November 2011 amending Annex II to Regulation (EC) No 1333/2008 of the European Parliament and the Council by establishing a Union list DER additives</w:t>
      </w:r>
      <w:bookmarkEnd w:id="2"/>
    </w:p>
  </w:footnote>
  <w:footnote w:id="3">
    <w:p w14:paraId="25A68F46" w14:textId="77777777" w:rsidR="000E203F" w:rsidRDefault="000E203F" w:rsidP="000E203F">
      <w:pPr>
        <w:pStyle w:val="Funotentext"/>
      </w:pPr>
      <w:r>
        <w:rPr>
          <w:rStyle w:val="Funotenzeichen"/>
        </w:rPr>
        <w:footnoteRef/>
      </w:r>
      <w:r>
        <w:t xml:space="preserve"> </w:t>
      </w:r>
      <w:r>
        <w:tab/>
        <w:t>https://ec.europa.eu/environment/ecolabel/documents/did_list/didlist_part_a_de.pdf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5D8B2" w14:textId="77777777" w:rsidR="000343BE" w:rsidRDefault="00CF723D" w:rsidP="000343BE">
    <w:pPr>
      <w:pStyle w:val="Kopfzeile"/>
      <w:jc w:val="right"/>
    </w:pPr>
    <w:r>
      <w:rPr>
        <w:noProof/>
      </w:rPr>
      <w:drawing>
        <wp:inline distT="0" distB="0" distL="0" distR="0" wp14:anchorId="7B39D99A" wp14:editId="755DEDA4">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4971BE0"/>
    <w:multiLevelType w:val="hybridMultilevel"/>
    <w:tmpl w:val="0CD0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B442CD"/>
    <w:multiLevelType w:val="hybridMultilevel"/>
    <w:tmpl w:val="8810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0"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5"/>
  </w:num>
  <w:num w:numId="3">
    <w:abstractNumId w:val="2"/>
  </w:num>
  <w:num w:numId="4">
    <w:abstractNumId w:val="3"/>
  </w:num>
  <w:num w:numId="5">
    <w:abstractNumId w:val="4"/>
  </w:num>
  <w:num w:numId="6">
    <w:abstractNumId w:val="1"/>
  </w:num>
  <w:num w:numId="7">
    <w:abstractNumId w:val="9"/>
  </w:num>
  <w:num w:numId="8">
    <w:abstractNumId w:val="1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BG1JgH9tXBWrKCfXh7Hf7gzLvxCGfbFSlrEDHXvUcvJnBFYImzVk9UVd6QPyf3/PfvLL1wnlMg5DsNZFajubg==" w:salt="pOGYSbn0/kEqfng5645w2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2725"/>
    <w:rsid w:val="000740FE"/>
    <w:rsid w:val="00075311"/>
    <w:rsid w:val="00077406"/>
    <w:rsid w:val="000815AE"/>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4430"/>
    <w:rsid w:val="001859FD"/>
    <w:rsid w:val="00186C3C"/>
    <w:rsid w:val="001936B6"/>
    <w:rsid w:val="00193DDD"/>
    <w:rsid w:val="00195D6C"/>
    <w:rsid w:val="001A3053"/>
    <w:rsid w:val="001A6B06"/>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1F688D"/>
    <w:rsid w:val="002005D5"/>
    <w:rsid w:val="00201086"/>
    <w:rsid w:val="00205376"/>
    <w:rsid w:val="00206B8C"/>
    <w:rsid w:val="00207456"/>
    <w:rsid w:val="00212136"/>
    <w:rsid w:val="0021493F"/>
    <w:rsid w:val="002152B8"/>
    <w:rsid w:val="00215A0B"/>
    <w:rsid w:val="00216EE9"/>
    <w:rsid w:val="00217624"/>
    <w:rsid w:val="00222056"/>
    <w:rsid w:val="00223147"/>
    <w:rsid w:val="00226BD2"/>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48EB"/>
    <w:rsid w:val="00356883"/>
    <w:rsid w:val="003650F1"/>
    <w:rsid w:val="00365741"/>
    <w:rsid w:val="00366580"/>
    <w:rsid w:val="00371CF3"/>
    <w:rsid w:val="003734DB"/>
    <w:rsid w:val="00374D34"/>
    <w:rsid w:val="003819D5"/>
    <w:rsid w:val="0038204A"/>
    <w:rsid w:val="0038227B"/>
    <w:rsid w:val="00382BC1"/>
    <w:rsid w:val="00382D2A"/>
    <w:rsid w:val="003837CF"/>
    <w:rsid w:val="00386DE2"/>
    <w:rsid w:val="00390937"/>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5D2"/>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5AF"/>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1200"/>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5F0C65"/>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1F9A"/>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D5DDC"/>
    <w:rsid w:val="008E2BEF"/>
    <w:rsid w:val="008E7988"/>
    <w:rsid w:val="008E7E64"/>
    <w:rsid w:val="008F1BFA"/>
    <w:rsid w:val="008F6F65"/>
    <w:rsid w:val="00902157"/>
    <w:rsid w:val="009054E2"/>
    <w:rsid w:val="00913B10"/>
    <w:rsid w:val="0091494D"/>
    <w:rsid w:val="00914BCF"/>
    <w:rsid w:val="00916BFF"/>
    <w:rsid w:val="0092281E"/>
    <w:rsid w:val="00923A8E"/>
    <w:rsid w:val="0092566D"/>
    <w:rsid w:val="00930101"/>
    <w:rsid w:val="0093366D"/>
    <w:rsid w:val="00936966"/>
    <w:rsid w:val="00940D1E"/>
    <w:rsid w:val="009439FD"/>
    <w:rsid w:val="009500F7"/>
    <w:rsid w:val="00950A71"/>
    <w:rsid w:val="0095269F"/>
    <w:rsid w:val="00953F3E"/>
    <w:rsid w:val="00960123"/>
    <w:rsid w:val="009635B0"/>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42C3"/>
    <w:rsid w:val="00AA5834"/>
    <w:rsid w:val="00AB40D7"/>
    <w:rsid w:val="00AB7BA3"/>
    <w:rsid w:val="00AC31DF"/>
    <w:rsid w:val="00AC323B"/>
    <w:rsid w:val="00AC5CB2"/>
    <w:rsid w:val="00AC6C3C"/>
    <w:rsid w:val="00AC7AAB"/>
    <w:rsid w:val="00AD31E3"/>
    <w:rsid w:val="00AD3219"/>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457"/>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18FA"/>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889"/>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4F50"/>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3324"/>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4EEA"/>
    <w:rsid w:val="00F25B26"/>
    <w:rsid w:val="00F30ED0"/>
    <w:rsid w:val="00F3326F"/>
    <w:rsid w:val="00F345AE"/>
    <w:rsid w:val="00F371EB"/>
    <w:rsid w:val="00F379D8"/>
    <w:rsid w:val="00F42893"/>
    <w:rsid w:val="00F42B84"/>
    <w:rsid w:val="00F473A3"/>
    <w:rsid w:val="00F50305"/>
    <w:rsid w:val="00F50CFE"/>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0FD082"/>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iPriority w:val="59"/>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1304</Words>
  <Characters>7433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29</cp:revision>
  <cp:lastPrinted>2013-03-14T10:09:00Z</cp:lastPrinted>
  <dcterms:created xsi:type="dcterms:W3CDTF">2019-12-17T08:53:00Z</dcterms:created>
  <dcterms:modified xsi:type="dcterms:W3CDTF">2021-05-12T09:28:00Z</dcterms:modified>
</cp:coreProperties>
</file>