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268"/>
        <w:gridCol w:w="2694"/>
      </w:tblGrid>
      <w:tr w:rsidR="008F7E7D" w:rsidRPr="005B7DE2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  <w:r w:rsidRPr="005B7DE2">
              <w:rPr>
                <w:b/>
                <w:szCs w:val="22"/>
              </w:rPr>
              <w:t xml:space="preserve">Anlage 3 zum Vertrag nach </w:t>
            </w:r>
            <w:r w:rsidR="007F79AE">
              <w:rPr>
                <w:b/>
                <w:szCs w:val="22"/>
              </w:rPr>
              <w:t>DE</w:t>
            </w:r>
            <w:r w:rsidRPr="005B7DE2">
              <w:rPr>
                <w:b/>
                <w:szCs w:val="22"/>
              </w:rPr>
              <w:t xml:space="preserve">-UZ </w:t>
            </w:r>
            <w:r w:rsidR="005B7DE2" w:rsidRPr="005B7DE2">
              <w:rPr>
                <w:b/>
                <w:szCs w:val="22"/>
              </w:rPr>
              <w:t>99</w:t>
            </w:r>
          </w:p>
          <w:p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:rsidR="008F7E7D" w:rsidRPr="005B7DE2" w:rsidRDefault="008F7E7D" w:rsidP="008F7E7D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Cs w:val="22"/>
                <w:u w:val="single"/>
              </w:rPr>
            </w:pPr>
            <w:r w:rsidRPr="005B7DE2">
              <w:rPr>
                <w:b/>
                <w:szCs w:val="22"/>
              </w:rPr>
              <w:t xml:space="preserve">Umweltzeichen für </w:t>
            </w:r>
            <w:r w:rsidRPr="005B7DE2">
              <w:rPr>
                <w:b/>
                <w:szCs w:val="22"/>
              </w:rPr>
              <w:br/>
            </w:r>
            <w:r w:rsidR="005B7DE2" w:rsidRPr="005B7DE2">
              <w:rPr>
                <w:b/>
                <w:szCs w:val="22"/>
              </w:rPr>
              <w:t>„Bewegungsflächenenteiser für Flugplätze“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:rsidR="008F7E7D" w:rsidRPr="005B7DE2" w:rsidRDefault="008F7E7D" w:rsidP="008F7E7D">
            <w:pPr>
              <w:tabs>
                <w:tab w:val="left" w:pos="5670"/>
              </w:tabs>
              <w:rPr>
                <w:szCs w:val="22"/>
                <w:u w:val="single"/>
              </w:rPr>
            </w:pPr>
          </w:p>
          <w:p w:rsidR="008F7E7D" w:rsidRPr="005B7DE2" w:rsidRDefault="008F7E7D" w:rsidP="008F7E7D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8F7E7D" w:rsidRPr="005B7DE2" w:rsidRDefault="008F7E7D" w:rsidP="008F7E7D">
            <w:pPr>
              <w:tabs>
                <w:tab w:val="left" w:pos="5670"/>
              </w:tabs>
              <w:spacing w:before="120"/>
              <w:jc w:val="center"/>
              <w:rPr>
                <w:szCs w:val="22"/>
              </w:rPr>
            </w:pPr>
            <w:r w:rsidRPr="005B7DE2">
              <w:rPr>
                <w:b/>
                <w:szCs w:val="22"/>
              </w:rPr>
              <w:t>Bitte benutzen Sie</w:t>
            </w:r>
          </w:p>
          <w:p w:rsidR="008F7E7D" w:rsidRPr="005B7DE2" w:rsidRDefault="008F7E7D" w:rsidP="008F7E7D">
            <w:pPr>
              <w:tabs>
                <w:tab w:val="left" w:pos="5670"/>
              </w:tabs>
              <w:jc w:val="center"/>
              <w:rPr>
                <w:szCs w:val="22"/>
              </w:rPr>
            </w:pPr>
          </w:p>
          <w:p w:rsidR="008F7E7D" w:rsidRPr="005B7DE2" w:rsidRDefault="008F7E7D" w:rsidP="008F7E7D">
            <w:pPr>
              <w:tabs>
                <w:tab w:val="left" w:pos="5670"/>
              </w:tabs>
              <w:jc w:val="center"/>
              <w:rPr>
                <w:szCs w:val="22"/>
              </w:rPr>
            </w:pPr>
            <w:r w:rsidRPr="005B7DE2">
              <w:rPr>
                <w:b/>
                <w:szCs w:val="22"/>
              </w:rPr>
              <w:t xml:space="preserve">diesen </w:t>
            </w:r>
            <w:proofErr w:type="gramStart"/>
            <w:r w:rsidRPr="005B7DE2">
              <w:rPr>
                <w:b/>
                <w:szCs w:val="22"/>
              </w:rPr>
              <w:t>Vordruck !</w:t>
            </w:r>
            <w:proofErr w:type="gramEnd"/>
          </w:p>
          <w:p w:rsidR="008F7E7D" w:rsidRPr="005B7DE2" w:rsidRDefault="008F7E7D" w:rsidP="008F7E7D">
            <w:pPr>
              <w:tabs>
                <w:tab w:val="left" w:pos="5670"/>
              </w:tabs>
              <w:rPr>
                <w:b/>
                <w:szCs w:val="22"/>
              </w:rPr>
            </w:pPr>
          </w:p>
        </w:tc>
      </w:tr>
    </w:tbl>
    <w:p w:rsidR="008F7E7D" w:rsidRDefault="008F7E7D" w:rsidP="008F7E7D">
      <w:pPr>
        <w:jc w:val="both"/>
      </w:pPr>
    </w:p>
    <w:p w:rsidR="008F7E7D" w:rsidRDefault="008F7E7D" w:rsidP="008F7E7D">
      <w:pPr>
        <w:jc w:val="both"/>
      </w:pPr>
    </w:p>
    <w:p w:rsidR="008F7E7D" w:rsidRPr="00783E22" w:rsidRDefault="008F7E7D" w:rsidP="008F7E7D">
      <w:pPr>
        <w:rPr>
          <w:b/>
          <w:sz w:val="20"/>
        </w:rPr>
      </w:pPr>
      <w:r w:rsidRPr="005B7DE2">
        <w:rPr>
          <w:b/>
          <w:sz w:val="20"/>
        </w:rPr>
        <w:t xml:space="preserve">Erklärung des </w:t>
      </w:r>
      <w:r w:rsidR="00B950C4" w:rsidRPr="005B7DE2">
        <w:rPr>
          <w:b/>
          <w:sz w:val="20"/>
        </w:rPr>
        <w:t>Antrag</w:t>
      </w:r>
      <w:r w:rsidRPr="005B7DE2">
        <w:rPr>
          <w:b/>
          <w:sz w:val="20"/>
        </w:rPr>
        <w:t xml:space="preserve">stellers </w:t>
      </w:r>
      <w:r w:rsidRPr="00783E22">
        <w:rPr>
          <w:b/>
          <w:sz w:val="20"/>
        </w:rPr>
        <w:t>nach Abschnitt 3.</w:t>
      </w:r>
      <w:r w:rsidR="00EA743D" w:rsidRPr="00783E22">
        <w:rPr>
          <w:b/>
          <w:sz w:val="20"/>
        </w:rPr>
        <w:t>5</w:t>
      </w:r>
      <w:r w:rsidRPr="00783E22">
        <w:rPr>
          <w:b/>
          <w:sz w:val="20"/>
        </w:rPr>
        <w:t xml:space="preserve">, </w:t>
      </w:r>
      <w:r w:rsidRPr="00783E22">
        <w:rPr>
          <w:b/>
          <w:sz w:val="20"/>
        </w:rPr>
        <w:br/>
      </w:r>
      <w:r w:rsidR="00EA743D" w:rsidRPr="00783E22">
        <w:rPr>
          <w:b/>
          <w:sz w:val="20"/>
        </w:rPr>
        <w:t>Genereller Ausschluss von Stoffen mit bestimmten Eigenschaften</w:t>
      </w:r>
    </w:p>
    <w:p w:rsidR="008F7E7D" w:rsidRPr="00783E22" w:rsidRDefault="008F7E7D" w:rsidP="008F7E7D">
      <w:pPr>
        <w:jc w:val="both"/>
        <w:rPr>
          <w:sz w:val="20"/>
        </w:rPr>
      </w:pPr>
    </w:p>
    <w:p w:rsidR="008F7E7D" w:rsidRPr="00783E22" w:rsidRDefault="008F7E7D" w:rsidP="008F7E7D">
      <w:pPr>
        <w:jc w:val="both"/>
        <w:rPr>
          <w:sz w:val="20"/>
        </w:rPr>
      </w:pPr>
    </w:p>
    <w:p w:rsidR="008F7E7D" w:rsidRPr="00783E22" w:rsidRDefault="008F7E7D" w:rsidP="008F7E7D">
      <w:pPr>
        <w:ind w:left="6804" w:hanging="6804"/>
        <w:jc w:val="both"/>
        <w:rPr>
          <w:sz w:val="20"/>
        </w:rPr>
      </w:pPr>
    </w:p>
    <w:p w:rsidR="00B950C4" w:rsidRPr="00783E22" w:rsidRDefault="008F7E7D" w:rsidP="008F7E7D">
      <w:pPr>
        <w:spacing w:line="360" w:lineRule="auto"/>
        <w:jc w:val="both"/>
        <w:rPr>
          <w:sz w:val="20"/>
        </w:rPr>
      </w:pPr>
      <w:r w:rsidRPr="00783E22">
        <w:rPr>
          <w:sz w:val="20"/>
        </w:rPr>
        <w:t>Hiermit erklären wir, dass d</w:t>
      </w:r>
      <w:r w:rsidR="00B950C4" w:rsidRPr="00783E22">
        <w:rPr>
          <w:sz w:val="20"/>
        </w:rPr>
        <w:t>em</w:t>
      </w:r>
      <w:r w:rsidRPr="00783E22">
        <w:rPr>
          <w:sz w:val="20"/>
        </w:rPr>
        <w:t xml:space="preserve"> Produkt </w:t>
      </w:r>
      <w:r w:rsidR="003D6DD6" w:rsidRPr="00783E22">
        <w:rPr>
          <w:sz w:val="20"/>
        </w:rPr>
        <w:t>f</w:t>
      </w:r>
      <w:r w:rsidR="00B950C4" w:rsidRPr="00783E22">
        <w:rPr>
          <w:sz w:val="20"/>
        </w:rPr>
        <w:t>olgende Stoffe nicht zugesetzt werden:</w:t>
      </w:r>
    </w:p>
    <w:p w:rsidR="008F7E7D" w:rsidRPr="00783E22" w:rsidRDefault="008F7E7D" w:rsidP="008F7E7D">
      <w:pPr>
        <w:tabs>
          <w:tab w:val="left" w:pos="3686"/>
        </w:tabs>
        <w:ind w:right="-1"/>
        <w:rPr>
          <w:rFonts w:cs="Arial"/>
          <w:sz w:val="20"/>
        </w:rPr>
      </w:pPr>
    </w:p>
    <w:p w:rsidR="00EA743D" w:rsidRPr="00783E22" w:rsidRDefault="00EA743D" w:rsidP="00EA743D">
      <w:pPr>
        <w:pStyle w:val="AufzhlungBuchstabe"/>
        <w:rPr>
          <w:rFonts w:ascii="Arial" w:hAnsi="Arial" w:cs="Arial"/>
        </w:rPr>
      </w:pPr>
      <w:r w:rsidRPr="00783E22">
        <w:rPr>
          <w:rFonts w:ascii="Arial" w:hAnsi="Arial" w:cs="Arial"/>
        </w:rPr>
        <w:t>Stoffe, die unter der Chemikalienverordnung REACH (EG/1907/2006) als besonders besorgniserregend identifiziert und in die gemäß REACH Artikel 59 Absatz 1 erstellte Liste (sogenannte „Kandidatenliste“) aufgenommen wurden. Es gilt die Fassung der Kandidatenliste zum Zeitpunkt der Antragsstellung.</w:t>
      </w:r>
      <w:r w:rsidRPr="00783E22">
        <w:rPr>
          <w:rStyle w:val="Funotenzeichen"/>
          <w:rFonts w:ascii="Arial" w:hAnsi="Arial" w:cs="Arial"/>
        </w:rPr>
        <w:footnoteReference w:id="1"/>
      </w:r>
      <w:r w:rsidRPr="00783E22">
        <w:rPr>
          <w:rFonts w:ascii="Arial" w:hAnsi="Arial" w:cs="Arial"/>
        </w:rPr>
        <w:t xml:space="preserve"> Ist der Stoff Bestandteil eines Gemisches, so darf seine Konzentration 0,1%-Gewichtsprozent nicht überschreiten. Liegt nach den Kriterien der GHS-Verordnung (EG/1272/2008) ein strengerer, spezifischer Konzentrationsgrenzwert für einen Stoff in einem Gemisch vor, so gilt dieser.</w:t>
      </w:r>
    </w:p>
    <w:p w:rsidR="00EA743D" w:rsidRPr="00783E22" w:rsidRDefault="00EA743D" w:rsidP="00EA743D">
      <w:pPr>
        <w:pStyle w:val="AufzhlungBuchstabe"/>
        <w:rPr>
          <w:rFonts w:ascii="Arial" w:hAnsi="Arial" w:cs="Arial"/>
        </w:rPr>
      </w:pPr>
      <w:r w:rsidRPr="00783E22">
        <w:rPr>
          <w:rFonts w:ascii="Arial" w:hAnsi="Arial" w:cs="Arial"/>
        </w:rPr>
        <w:t>Inhaltsstoffe, die gemäß den Kriterien der EG-Verordnung 1272/2008</w:t>
      </w:r>
      <w:r w:rsidRPr="00783E22">
        <w:rPr>
          <w:rStyle w:val="Funotenzeichen"/>
          <w:rFonts w:ascii="Arial" w:hAnsi="Arial" w:cs="Arial"/>
        </w:rPr>
        <w:footnoteReference w:id="2"/>
      </w:r>
      <w:r w:rsidRPr="00783E22">
        <w:rPr>
          <w:rFonts w:ascii="Arial" w:hAnsi="Arial" w:cs="Arial"/>
        </w:rPr>
        <w:t xml:space="preserve"> mit den in der folgenden Tabelle genannten H-Sätzen eingestuft sind oder die die Kriterien für eine solche Einstufung erfüllen. Ist der Stoff Bestandteil eines Gemisches, so darf seine Konzentration die allgemeinen Berücksichtigungsgrenzwerte nach der GHS-Verordnung (EG/1272/2008) nicht überschreiten. Liegt ein strengerer, spezifischer Konzentrationsgrenzwert für einen Stoff in einem Gemisch vor, so gilt dieser.</w:t>
      </w:r>
    </w:p>
    <w:p w:rsidR="00B950C4" w:rsidRPr="00783E22" w:rsidRDefault="00B950C4" w:rsidP="00B950C4">
      <w:pPr>
        <w:pStyle w:val="Listenabsatz"/>
        <w:widowControl w:val="0"/>
        <w:tabs>
          <w:tab w:val="left" w:pos="357"/>
        </w:tabs>
        <w:autoSpaceDE w:val="0"/>
        <w:autoSpaceDN w:val="0"/>
        <w:adjustRightInd w:val="0"/>
        <w:contextualSpacing w:val="0"/>
        <w:rPr>
          <w:rFonts w:ascii="Arial" w:hAnsi="Arial" w:cs="Arial"/>
          <w:sz w:val="20"/>
          <w:szCs w:val="20"/>
        </w:rPr>
      </w:pPr>
    </w:p>
    <w:tbl>
      <w:tblPr>
        <w:tblW w:w="9493" w:type="dxa"/>
        <w:tblLook w:val="01E0" w:firstRow="1" w:lastRow="1" w:firstColumn="1" w:lastColumn="1" w:noHBand="0" w:noVBand="0"/>
      </w:tblPr>
      <w:tblGrid>
        <w:gridCol w:w="2122"/>
        <w:gridCol w:w="7371"/>
      </w:tblGrid>
      <w:tr w:rsidR="00EA743D" w:rsidRPr="00783E22" w:rsidTr="00EB5CFB">
        <w:trPr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pStyle w:val="Tabellentextfett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 xml:space="preserve">Verordnung 1272/2008 </w:t>
            </w:r>
          </w:p>
          <w:p w:rsidR="00EA743D" w:rsidRPr="00783E22" w:rsidRDefault="00EA743D" w:rsidP="00EB5CFB">
            <w:pPr>
              <w:pStyle w:val="Tabellentextfett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>(GHS-Verordnung)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pStyle w:val="Tabellentextfett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>Wortlaut</w:t>
            </w:r>
          </w:p>
        </w:tc>
      </w:tr>
      <w:tr w:rsidR="00EA743D" w:rsidRPr="00783E22" w:rsidTr="00EB5CFB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3D" w:rsidRPr="00783E22" w:rsidRDefault="00EA743D" w:rsidP="00EB5CFB">
            <w:pPr>
              <w:pStyle w:val="Tabellentextfettklein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>Toxische Stoffe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Lebensgefahr beim Verschlucken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Giftig bei Verschlucken 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Kann bei Verschlucken und Eindringen in die Atemwege tödlich sein 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Lebensgefahr bei Hautkontakt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Giftig bei Hautkontakt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allergische Hautreaktionen verursachen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Lebensgefahr beim Einatmen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Giftig beim Einatmen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beim Einatmen Allergie, asthmaartige Symptome oder Atembeschwerden verursachen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H370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proofErr w:type="gramStart"/>
            <w:r w:rsidRPr="00783E22">
              <w:rPr>
                <w:rFonts w:cs="Arial"/>
              </w:rPr>
              <w:t>Schädigt</w:t>
            </w:r>
            <w:proofErr w:type="gramEnd"/>
            <w:r w:rsidRPr="00783E22">
              <w:rPr>
                <w:rFonts w:cs="Arial"/>
              </w:rPr>
              <w:t xml:space="preserve"> die Organe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H371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die Organe schädigen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H372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proofErr w:type="gramStart"/>
            <w:r w:rsidRPr="00783E22">
              <w:rPr>
                <w:rFonts w:cs="Arial"/>
              </w:rPr>
              <w:t>Schädigt</w:t>
            </w:r>
            <w:proofErr w:type="gramEnd"/>
            <w:r w:rsidRPr="00783E22">
              <w:rPr>
                <w:rFonts w:cs="Arial"/>
              </w:rPr>
              <w:t xml:space="preserve"> die Organe, wiederholte Exposition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lastRenderedPageBreak/>
              <w:t xml:space="preserve">H373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die Organe schädigen bei längerer oder wiederholter Exposition</w:t>
            </w:r>
          </w:p>
        </w:tc>
      </w:tr>
      <w:tr w:rsidR="00EA743D" w:rsidRPr="00783E22" w:rsidTr="00EB5CFB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3D" w:rsidRPr="00783E22" w:rsidRDefault="00EA743D" w:rsidP="00EB5CFB">
            <w:pPr>
              <w:pStyle w:val="Tabellentextfettklein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>Krebserzeugende, erbgutverändernde und fortpflanzungsgefährdende Stoffe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H340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genetische Defekte verursachen.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H341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vermutlich genetische Defekte verursachen.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Krebs erzeugen.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H350i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bei Einatmen Krebs erzeugen.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vermutlich Krebs erzeugen.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H360F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die Fruchtbarkeit beeinträchtigen.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H360D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das Kind im Mutterleib schädigen.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H360FD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Kann die Fruchtbarkeit beeinträchtigen. </w:t>
            </w:r>
          </w:p>
          <w:p w:rsidR="00EA743D" w:rsidRPr="00783E22" w:rsidRDefault="00EA743D" w:rsidP="00EB5CFB">
            <w:pPr>
              <w:rPr>
                <w:rFonts w:cs="Arial"/>
                <w:lang w:eastAsia="en-US"/>
              </w:rPr>
            </w:pPr>
            <w:r w:rsidRPr="00783E22">
              <w:rPr>
                <w:rFonts w:cs="Arial"/>
              </w:rPr>
              <w:t>Kann das Kind im Mutterleib schädigen.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H360Fd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Kann die Fruchtbarkeit beeinträchtigen. </w:t>
            </w:r>
          </w:p>
          <w:p w:rsidR="00EA743D" w:rsidRPr="00783E22" w:rsidRDefault="00EA743D" w:rsidP="00EB5CFB">
            <w:pPr>
              <w:rPr>
                <w:rFonts w:cs="Arial"/>
                <w:lang w:eastAsia="en-US"/>
              </w:rPr>
            </w:pPr>
            <w:r w:rsidRPr="00783E22">
              <w:rPr>
                <w:rFonts w:cs="Arial"/>
              </w:rPr>
              <w:t>Kann vermutlich das Kind im Mutterleib schädigen.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H360Df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Kann das Kind im Mutterleib schädigen. </w:t>
            </w:r>
          </w:p>
          <w:p w:rsidR="00EA743D" w:rsidRPr="00783E22" w:rsidRDefault="00EA743D" w:rsidP="00EB5CFB">
            <w:pPr>
              <w:rPr>
                <w:rFonts w:cs="Arial"/>
                <w:lang w:eastAsia="en-US"/>
              </w:rPr>
            </w:pPr>
            <w:r w:rsidRPr="00783E22">
              <w:rPr>
                <w:rFonts w:cs="Arial"/>
              </w:rPr>
              <w:t>Kann vermutlich die Fruchtbarkeit beeinträchtigen.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H361f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vermutlich die Fruchtbarkeit beeinträchtigen.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H361d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vermutlich das Kind im Mutterleib schädigen.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H361fd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 xml:space="preserve">Kann vermutlich die Fruchtbarkeit beeinträchtigen. </w:t>
            </w:r>
          </w:p>
          <w:p w:rsidR="00EA743D" w:rsidRPr="00783E22" w:rsidRDefault="00EA743D" w:rsidP="00EB5CFB">
            <w:pPr>
              <w:rPr>
                <w:rFonts w:cs="Arial"/>
                <w:lang w:eastAsia="en-US"/>
              </w:rPr>
            </w:pPr>
            <w:r w:rsidRPr="00783E22">
              <w:rPr>
                <w:rFonts w:cs="Arial"/>
              </w:rPr>
              <w:t>Kann vermutlich das Kind im Mutterleib schädigen.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H362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Säuglinge über die Muttermilch schädigen.</w:t>
            </w:r>
          </w:p>
        </w:tc>
      </w:tr>
      <w:tr w:rsidR="00EA743D" w:rsidRPr="00783E22" w:rsidTr="00EB5CFB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3D" w:rsidRPr="00783E22" w:rsidRDefault="00EA743D" w:rsidP="00EB5CFB">
            <w:pPr>
              <w:pStyle w:val="Tabellentextfettklein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>Gewässergefährdende Stoffe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H400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Sehr giftig für Wasserorganismen.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H410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Sehr giftig für Wasserorganismen mit langfristiger Wirkung.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H411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Giftig für Wasserorganismen mit langfristiger Wirkung.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H412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Schädlich für Wasserorganismen mit langfristiger Wirkung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H413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Kann für Wasserorganismen schädlich sein mit langfristiger Wirkung</w:t>
            </w:r>
          </w:p>
        </w:tc>
      </w:tr>
      <w:tr w:rsidR="00EA743D" w:rsidRPr="00783E22" w:rsidTr="00EB5CFB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3D" w:rsidRPr="00783E22" w:rsidRDefault="00EA743D" w:rsidP="00EB5CFB">
            <w:pPr>
              <w:pStyle w:val="Tabellentextfettkleinlinksbndig"/>
              <w:rPr>
                <w:rFonts w:ascii="Arial" w:hAnsi="Arial" w:cs="Arial"/>
              </w:rPr>
            </w:pPr>
            <w:r w:rsidRPr="00783E22">
              <w:rPr>
                <w:rFonts w:ascii="Arial" w:hAnsi="Arial" w:cs="Arial"/>
              </w:rPr>
              <w:t>Sonstige Gesundheits- oder Umweltwirkungen</w:t>
            </w:r>
          </w:p>
        </w:tc>
      </w:tr>
      <w:tr w:rsidR="00EA743D" w:rsidRPr="00783E22" w:rsidTr="00EB5CFB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EUH059 (H420)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43D" w:rsidRPr="00783E22" w:rsidRDefault="00EA743D" w:rsidP="00EB5CFB">
            <w:pPr>
              <w:rPr>
                <w:rFonts w:cs="Arial"/>
              </w:rPr>
            </w:pPr>
            <w:r w:rsidRPr="00783E22">
              <w:rPr>
                <w:rFonts w:cs="Arial"/>
              </w:rPr>
              <w:t>Die Ozonschicht schädigend</w:t>
            </w:r>
          </w:p>
        </w:tc>
      </w:tr>
    </w:tbl>
    <w:p w:rsidR="00B950C4" w:rsidRPr="00783E22" w:rsidRDefault="00B950C4" w:rsidP="00374542">
      <w:pPr>
        <w:pStyle w:val="Listenabsatz"/>
        <w:widowControl w:val="0"/>
        <w:tabs>
          <w:tab w:val="left" w:pos="357"/>
        </w:tabs>
        <w:autoSpaceDE w:val="0"/>
        <w:autoSpaceDN w:val="0"/>
        <w:adjustRightInd w:val="0"/>
        <w:ind w:left="0"/>
        <w:contextualSpacing w:val="0"/>
        <w:jc w:val="left"/>
        <w:rPr>
          <w:rFonts w:ascii="Arial" w:hAnsi="Arial" w:cs="Arial"/>
        </w:rPr>
      </w:pPr>
    </w:p>
    <w:p w:rsidR="00EA743D" w:rsidRPr="00783E22" w:rsidRDefault="00EA743D" w:rsidP="00EA743D">
      <w:pPr>
        <w:pStyle w:val="AufzhlungBuchstabe"/>
        <w:rPr>
          <w:rFonts w:ascii="Arial" w:hAnsi="Arial" w:cs="Arial"/>
        </w:rPr>
      </w:pPr>
      <w:r w:rsidRPr="00783E22">
        <w:rPr>
          <w:rFonts w:ascii="Arial" w:hAnsi="Arial" w:cs="Arial"/>
        </w:rPr>
        <w:t>Von den Regelungen a) und b) ausgenommen sind Verunreinigungen in Konzentrationen, die nicht im Sicherheitsdatenblatt angegeben werden. Die im Sicherheitsdatenblatt anzugebenen Bestandteile müssen den Vorgaben gemäß Anhang II Nr. 3 der REACH Verordnung (EG/1907/2006) entsprechen. Ist der Stoff demnach Bestandteil eines Gemisches, so darf seine Konzentration die allgemeinen Berücksichtigungsgrenzwerte der GHS-Verordnung (EG/1272/2008) nicht überschreiten. Liegt ein strengerer, spezifischer Konzentrationsgrenzwert für einen Stoff in einem Gemisch vor, so gilt dieser.</w:t>
      </w:r>
    </w:p>
    <w:p w:rsidR="00374542" w:rsidRPr="00783E22" w:rsidRDefault="00374542" w:rsidP="005B7DE2">
      <w:pPr>
        <w:pStyle w:val="Default"/>
        <w:widowControl w:val="0"/>
        <w:ind w:left="1066" w:hanging="357"/>
        <w:rPr>
          <w:sz w:val="22"/>
          <w:szCs w:val="22"/>
        </w:rPr>
      </w:pPr>
    </w:p>
    <w:p w:rsidR="008F7E7D" w:rsidRPr="00783E22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Pr="00783E22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Pr="00783E22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B7DE2" w:rsidRPr="00783E22" w:rsidRDefault="005B7DE2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Pr="00783E2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 w:rsidRPr="00783E22">
        <w:rPr>
          <w:rFonts w:cs="Arial"/>
          <w:szCs w:val="22"/>
        </w:rPr>
        <w:t>Ort:</w:t>
      </w:r>
      <w:r w:rsidRPr="00783E22">
        <w:rPr>
          <w:rFonts w:cs="Arial"/>
          <w:szCs w:val="22"/>
        </w:rPr>
        <w:tab/>
      </w:r>
      <w:r w:rsidRPr="00783E22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0" w:name="Text1"/>
      <w:r w:rsidRPr="00783E22">
        <w:rPr>
          <w:rFonts w:cs="Arial"/>
          <w:szCs w:val="22"/>
        </w:rPr>
        <w:instrText xml:space="preserve"> FORMTEXT </w:instrText>
      </w:r>
      <w:r w:rsidRPr="00783E22">
        <w:rPr>
          <w:rFonts w:cs="Arial"/>
          <w:szCs w:val="22"/>
        </w:rPr>
      </w:r>
      <w:r w:rsidRPr="00783E22">
        <w:rPr>
          <w:rFonts w:cs="Arial"/>
          <w:szCs w:val="22"/>
        </w:rPr>
        <w:fldChar w:fldCharType="separate"/>
      </w:r>
      <w:bookmarkStart w:id="1" w:name="_GoBack"/>
      <w:bookmarkEnd w:id="1"/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Pr="00783E22">
        <w:rPr>
          <w:rFonts w:cs="Arial"/>
          <w:szCs w:val="22"/>
        </w:rPr>
        <w:fldChar w:fldCharType="end"/>
      </w:r>
      <w:bookmarkEnd w:id="0"/>
      <w:r w:rsidRPr="00783E22">
        <w:rPr>
          <w:rFonts w:cs="Arial"/>
          <w:szCs w:val="22"/>
        </w:rPr>
        <w:tab/>
      </w:r>
      <w:r w:rsidR="00EA743D" w:rsidRPr="00783E22">
        <w:rPr>
          <w:rFonts w:cs="Arial"/>
          <w:szCs w:val="22"/>
        </w:rPr>
        <w:t>(rechtsverbindliche Unterschrift</w:t>
      </w:r>
    </w:p>
    <w:p w:rsidR="008F7E7D" w:rsidRPr="005B7DE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 w:rsidRPr="00783E22">
        <w:rPr>
          <w:rFonts w:cs="Arial"/>
          <w:sz w:val="20"/>
        </w:rPr>
        <w:t>Datum:</w:t>
      </w:r>
      <w:r w:rsidRPr="00783E22">
        <w:rPr>
          <w:rFonts w:cs="Arial"/>
          <w:sz w:val="20"/>
        </w:rPr>
        <w:tab/>
      </w:r>
      <w:r w:rsidR="00E60135" w:rsidRPr="00783E22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="00E60135" w:rsidRPr="00783E22">
        <w:rPr>
          <w:rFonts w:cs="Arial"/>
          <w:szCs w:val="22"/>
        </w:rPr>
        <w:instrText xml:space="preserve"> FORMTEXT </w:instrText>
      </w:r>
      <w:r w:rsidR="00E60135" w:rsidRPr="00783E22">
        <w:rPr>
          <w:rFonts w:cs="Arial"/>
          <w:szCs w:val="22"/>
        </w:rPr>
      </w:r>
      <w:r w:rsidR="00E60135" w:rsidRPr="00783E22">
        <w:rPr>
          <w:rFonts w:cs="Arial"/>
          <w:szCs w:val="22"/>
        </w:rPr>
        <w:fldChar w:fldCharType="separate"/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E60135" w:rsidRPr="00783E22">
        <w:rPr>
          <w:rFonts w:cs="Arial"/>
          <w:szCs w:val="22"/>
        </w:rPr>
        <w:fldChar w:fldCharType="end"/>
      </w:r>
      <w:r w:rsidRPr="00783E22">
        <w:rPr>
          <w:rFonts w:cs="Arial"/>
          <w:sz w:val="20"/>
        </w:rPr>
        <w:tab/>
      </w:r>
      <w:r w:rsidR="00EA743D" w:rsidRPr="00783E22">
        <w:rPr>
          <w:rFonts w:cs="Arial"/>
          <w:szCs w:val="22"/>
        </w:rPr>
        <w:t>und Firmenstempel)</w:t>
      </w:r>
    </w:p>
    <w:p w:rsidR="00EA743D" w:rsidRPr="005B7DE2" w:rsidRDefault="008F7E7D" w:rsidP="00EA743D">
      <w:pPr>
        <w:tabs>
          <w:tab w:val="left" w:pos="4820"/>
        </w:tabs>
        <w:ind w:right="-1"/>
        <w:rPr>
          <w:sz w:val="20"/>
        </w:rPr>
      </w:pPr>
      <w:r w:rsidRPr="005B7DE2">
        <w:rPr>
          <w:rFonts w:cs="Arial"/>
          <w:sz w:val="20"/>
        </w:rPr>
        <w:tab/>
      </w:r>
    </w:p>
    <w:p w:rsidR="00D41A9A" w:rsidRPr="005B7DE2" w:rsidRDefault="00D41A9A" w:rsidP="008F7E7D">
      <w:pPr>
        <w:tabs>
          <w:tab w:val="left" w:pos="4820"/>
        </w:tabs>
        <w:rPr>
          <w:sz w:val="20"/>
        </w:rPr>
      </w:pPr>
    </w:p>
    <w:sectPr w:rsidR="00D41A9A" w:rsidRPr="005B7DE2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9A8" w:rsidRDefault="00A409A8">
      <w:r>
        <w:separator/>
      </w:r>
    </w:p>
  </w:endnote>
  <w:endnote w:type="continuationSeparator" w:id="0">
    <w:p w:rsidR="00A409A8" w:rsidRDefault="00A4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300143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4B35B5">
      <w:rPr>
        <w:rFonts w:cs="Arial"/>
        <w:szCs w:val="22"/>
      </w:rPr>
      <w:fldChar w:fldCharType="begin"/>
    </w:r>
    <w:r w:rsidR="004B35B5">
      <w:rPr>
        <w:rFonts w:cs="Arial"/>
        <w:szCs w:val="22"/>
      </w:rPr>
      <w:instrText xml:space="preserve"> NUMPAGES  \* Arabic  \* MERGEFORMAT </w:instrText>
    </w:r>
    <w:r w:rsidR="004B35B5">
      <w:rPr>
        <w:rFonts w:cs="Arial"/>
        <w:szCs w:val="22"/>
      </w:rPr>
      <w:fldChar w:fldCharType="separate"/>
    </w:r>
    <w:r w:rsidR="00300143">
      <w:rPr>
        <w:rFonts w:cs="Arial"/>
        <w:noProof/>
        <w:szCs w:val="22"/>
      </w:rPr>
      <w:t>3</w:t>
    </w:r>
    <w:r w:rsidR="004B35B5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F79AE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</w:t>
    </w:r>
    <w:r w:rsidR="005B7DE2" w:rsidRPr="00783E22">
      <w:rPr>
        <w:rFonts w:cs="Arial"/>
        <w:szCs w:val="22"/>
      </w:rPr>
      <w:t>99</w:t>
    </w:r>
    <w:r w:rsidRPr="00783E22">
      <w:rPr>
        <w:rFonts w:cs="Arial"/>
        <w:szCs w:val="22"/>
      </w:rPr>
      <w:t xml:space="preserve"> Ausgabe </w:t>
    </w:r>
    <w:r w:rsidR="00EA743D" w:rsidRPr="00783E22">
      <w:rPr>
        <w:rStyle w:val="Seitenzahl"/>
        <w:rFonts w:cs="Arial"/>
        <w:szCs w:val="22"/>
      </w:rPr>
      <w:t>Januar</w:t>
    </w:r>
    <w:r w:rsidR="00B950C4" w:rsidRPr="00783E22">
      <w:rPr>
        <w:rStyle w:val="Seitenzahl"/>
        <w:rFonts w:cs="Arial"/>
        <w:szCs w:val="22"/>
      </w:rPr>
      <w:t xml:space="preserve"> 20</w:t>
    </w:r>
    <w:r w:rsidR="00EA743D" w:rsidRPr="00783E22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9A8" w:rsidRDefault="00A409A8">
      <w:r>
        <w:separator/>
      </w:r>
    </w:p>
  </w:footnote>
  <w:footnote w:type="continuationSeparator" w:id="0">
    <w:p w:rsidR="00A409A8" w:rsidRDefault="00A409A8">
      <w:r>
        <w:continuationSeparator/>
      </w:r>
    </w:p>
  </w:footnote>
  <w:footnote w:id="1">
    <w:p w:rsidR="00EA743D" w:rsidRDefault="00EA743D" w:rsidP="00EA74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245637">
        <w:t>Die Kandidatenliste in der jeweils aktuellen Fassung findet sich unter:</w:t>
      </w:r>
      <w:r>
        <w:t xml:space="preserve"> </w:t>
      </w:r>
      <w:hyperlink r:id="rId1" w:history="1">
        <w:r w:rsidRPr="000C40C2">
          <w:rPr>
            <w:rStyle w:val="Hyperlink"/>
          </w:rPr>
          <w:t>https://echa.europa.eu/candidate-list-table</w:t>
        </w:r>
      </w:hyperlink>
    </w:p>
  </w:footnote>
  <w:footnote w:id="2">
    <w:p w:rsidR="00EA743D" w:rsidRDefault="00EA743D" w:rsidP="00EA743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268F7">
        <w:t xml:space="preserve">Verordnung (EG) Nr. 1272/2008 des Europäischen Parlaments und des Rates vom 16. Dezember 2008 über die Einstufung, Kennzeichnung und Verpackung von Stoffen und Gemischen, zur Änderung und Aufhebung der Richtlinien 67/548/EWG und 1999/45/EG und zur Änderung der Verordnung (EG) Nr. 1907/2006 (GHS-Verordnung).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300143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t+Imb+WmMVIBeRlkxcv8/aS3wmOC/yoSaVPWOiOqFpbWQQg0CkLyroos66jylovY8kJ6w71ndiH/x5C7/SDkg==" w:salt="umSgSZaUmfvkrPGr8I9b/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0345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143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35B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1F4D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B7DE2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04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D4446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3E22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7F79AE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0A74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09A8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135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A743D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370B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E46D5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EA743D"/>
    <w:pPr>
      <w:keepNext/>
      <w:numPr>
        <w:numId w:val="10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EA743D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EA743D"/>
    <w:pPr>
      <w:keepNext/>
      <w:numPr>
        <w:ilvl w:val="2"/>
        <w:numId w:val="10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EA743D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EA743D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EA743D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EA743D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EA743D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EA743D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EA743D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EA743D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EA743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EA743D"/>
    <w:rPr>
      <w:rFonts w:ascii="Verdana" w:eastAsiaTheme="minorEastAsia" w:hAnsi="Verdana" w:cstheme="minorBidi"/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ha.europa.eu/candidate-list-table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7</cp:revision>
  <cp:lastPrinted>2013-05-07T11:02:00Z</cp:lastPrinted>
  <dcterms:created xsi:type="dcterms:W3CDTF">2019-12-17T09:07:00Z</dcterms:created>
  <dcterms:modified xsi:type="dcterms:W3CDTF">2021-01-27T09:48:00Z</dcterms:modified>
</cp:coreProperties>
</file>