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984"/>
        <w:gridCol w:w="2835"/>
      </w:tblGrid>
      <w:tr w:rsidR="00B67447" w:rsidRPr="00557197" w:rsidTr="00866874"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B67447" w:rsidRPr="00557197" w:rsidRDefault="00772B9D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Annex 1 to the Contract pursuant to </w:t>
            </w:r>
            <w:r w:rsidR="00F94B86">
              <w:rPr>
                <w:rFonts w:ascii="Arial" w:hAnsi="Arial"/>
                <w:b/>
                <w:sz w:val="22"/>
              </w:rPr>
              <w:t>DE</w:t>
            </w:r>
            <w:r>
              <w:rPr>
                <w:rFonts w:ascii="Arial" w:hAnsi="Arial"/>
                <w:b/>
                <w:sz w:val="22"/>
              </w:rPr>
              <w:t>-UZ 99</w:t>
            </w: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Environmental Label for </w:t>
            </w:r>
          </w:p>
          <w:p w:rsidR="00B67447" w:rsidRPr="00557197" w:rsidRDefault="00B67447" w:rsidP="00B6744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/>
                <w:b/>
                <w:sz w:val="22"/>
              </w:rPr>
              <w:t>"Movement Area De-icers for Airfields"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Please use</w:t>
            </w:r>
          </w:p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this printed form!</w:t>
            </w: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>Manufacturer (applicant):</w:t>
      </w: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bookmarkStart w:id="0" w:name="Text1"/>
      <w:r>
        <w:rPr>
          <w:rFonts w:ascii="Arial" w:hAnsi="Arial"/>
          <w:noProof/>
          <w:sz w:val="22"/>
        </w:rPr>
        <w:t>   </w:t>
      </w:r>
      <w:bookmarkStart w:id="1" w:name="_GoBack"/>
      <w:bookmarkEnd w:id="1"/>
      <w:r>
        <w:rPr>
          <w:rFonts w:ascii="Arial" w:hAnsi="Arial"/>
          <w:noProof/>
          <w:sz w:val="22"/>
        </w:rPr>
        <w:t>  </w:t>
      </w:r>
      <w:r>
        <w:fldChar w:fldCharType="end"/>
      </w:r>
      <w:bookmarkEnd w:id="0"/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Distributor (label user):</w:t>
      </w: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>Brand/trade name:</w:t>
      </w: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</w:p>
    <w:p w:rsidR="00B67447" w:rsidRDefault="00B67447" w:rsidP="00B67447">
      <w:pPr>
        <w:ind w:left="6804" w:hanging="6804"/>
        <w:rPr>
          <w:rFonts w:ascii="Arial" w:hAnsi="Arial"/>
          <w:sz w:val="22"/>
        </w:rPr>
      </w:pPr>
    </w:p>
    <w:p w:rsidR="00B67447" w:rsidRDefault="00B67447" w:rsidP="00772B9D">
      <w:pPr>
        <w:spacing w:line="360" w:lineRule="auto"/>
        <w:ind w:left="6804" w:hanging="6804"/>
        <w:rPr>
          <w:rFonts w:ascii="Arial" w:hAnsi="Arial"/>
          <w:sz w:val="22"/>
        </w:rPr>
      </w:pPr>
    </w:p>
    <w:p w:rsidR="00B67447" w:rsidRDefault="000F2454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applicant declares that the following substances have not been added:</w:t>
      </w:r>
    </w:p>
    <w:p w:rsidR="00772B9D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Triazoles as anti-corrosion protection</w:t>
      </w:r>
    </w:p>
    <w:p w:rsidR="00597702" w:rsidRPr="00597702" w:rsidRDefault="00597702" w:rsidP="00597702">
      <w:pPr>
        <w:pStyle w:val="AufzhlungPunkt1"/>
        <w:numPr>
          <w:ilvl w:val="0"/>
          <w:numId w:val="2"/>
        </w:numPr>
        <w:rPr>
          <w:rFonts w:ascii="Arial" w:hAnsi="Arial" w:cs="Arial"/>
          <w:sz w:val="22"/>
        </w:rPr>
      </w:pPr>
      <w:r w:rsidRPr="00597702">
        <w:rPr>
          <w:rFonts w:ascii="Arial" w:hAnsi="Arial" w:cs="Arial"/>
          <w:sz w:val="22"/>
        </w:rPr>
        <w:t xml:space="preserve">Perfluorinated and polyfluorinated chemicals (PCs) </w:t>
      </w:r>
    </w:p>
    <w:p w:rsidR="00772B9D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Alkylphenol ethoxylate (Octylethoxylate or Nonylethoxylate)</w:t>
      </w:r>
    </w:p>
    <w:p w:rsidR="00772B9D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complexing agents EDTA and NTA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The following heavy metals are </w:t>
      </w:r>
      <w:r w:rsidR="00866874">
        <w:rPr>
          <w:rFonts w:ascii="Arial" w:hAnsi="Arial"/>
          <w:sz w:val="22"/>
        </w:rPr>
        <w:t xml:space="preserve">only </w:t>
      </w:r>
      <w:r>
        <w:rPr>
          <w:rFonts w:ascii="Arial" w:hAnsi="Arial"/>
          <w:sz w:val="22"/>
        </w:rPr>
        <w:t>contained to a maximum level of 0.1</w:t>
      </w:r>
      <w:r w:rsidR="0059770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mg/kg in the product:</w:t>
      </w:r>
    </w:p>
    <w:p w:rsidR="00772B9D" w:rsidRDefault="00866874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ind w:left="1418" w:hanging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  <w:r w:rsidR="00772B9D">
        <w:rPr>
          <w:rFonts w:ascii="Arial" w:hAnsi="Arial"/>
          <w:sz w:val="22"/>
        </w:rPr>
        <w:t>rsenic (As), cadmium (Cd), chromium (Cr), copper (Cu),</w:t>
      </w:r>
      <w:r w:rsidR="00597702">
        <w:rPr>
          <w:rFonts w:ascii="Arial" w:hAnsi="Arial"/>
          <w:sz w:val="22"/>
        </w:rPr>
        <w:t xml:space="preserve"> lead (Pb),</w:t>
      </w:r>
      <w:r w:rsidR="00772B9D">
        <w:rPr>
          <w:rFonts w:ascii="Arial" w:hAnsi="Arial"/>
          <w:sz w:val="22"/>
        </w:rPr>
        <w:t xml:space="preserve"> mercury (Hg)</w:t>
      </w:r>
      <w:r w:rsidR="00597702">
        <w:rPr>
          <w:rFonts w:ascii="Arial" w:hAnsi="Arial"/>
          <w:sz w:val="22"/>
        </w:rPr>
        <w:t xml:space="preserve">, </w:t>
      </w:r>
      <w:r w:rsidR="00772B9D">
        <w:rPr>
          <w:rFonts w:ascii="Arial" w:hAnsi="Arial"/>
          <w:sz w:val="22"/>
        </w:rPr>
        <w:t>nickel (Ni).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de-icer corresponds to the applicable requirements for its fitness for purpose and safety.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de-icing effect has been experimentally proven in a standard process.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technical requirements for the products in accordance with SAE, AMS 1435 for liquid de-icer or AMS 1431 for solid de-icer are observed.</w:t>
      </w:r>
    </w:p>
    <w:p w:rsidR="003327F4" w:rsidRDefault="003327F4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relevant reports are enclosed.</w:t>
      </w:r>
    </w:p>
    <w:p w:rsidR="00B67447" w:rsidRDefault="00B67447" w:rsidP="00772B9D">
      <w:pPr>
        <w:tabs>
          <w:tab w:val="left" w:pos="5670"/>
        </w:tabs>
        <w:spacing w:line="360" w:lineRule="auto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851"/>
        </w:tabs>
        <w:spacing w:after="120"/>
        <w:ind w:left="5529" w:hanging="5529"/>
        <w:rPr>
          <w:rFonts w:ascii="Arial" w:hAnsi="Arial"/>
          <w:sz w:val="22"/>
        </w:rPr>
      </w:pPr>
      <w:r>
        <w:rPr>
          <w:rFonts w:ascii="Arial" w:hAnsi="Arial"/>
          <w:sz w:val="22"/>
        </w:rPr>
        <w:t>Location:</w:t>
      </w:r>
      <w:r w:rsidR="00866874">
        <w:t xml:space="preserve"> </w:t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     </w:t>
      </w:r>
      <w:r>
        <w:fldChar w:fldCharType="end"/>
      </w:r>
      <w:r>
        <w:tab/>
      </w:r>
      <w:r>
        <w:rPr>
          <w:rFonts w:ascii="Arial" w:hAnsi="Arial"/>
          <w:sz w:val="22"/>
        </w:rPr>
        <w:t>Applicant:</w:t>
      </w:r>
    </w:p>
    <w:p w:rsidR="00B67447" w:rsidRDefault="00B67447" w:rsidP="00B67447">
      <w:pPr>
        <w:tabs>
          <w:tab w:val="left" w:pos="851"/>
        </w:tabs>
        <w:ind w:left="5529" w:hanging="5529"/>
        <w:rPr>
          <w:rFonts w:ascii="Arial" w:hAnsi="Arial"/>
          <w:sz w:val="22"/>
        </w:rPr>
      </w:pPr>
      <w:r>
        <w:rPr>
          <w:rFonts w:ascii="Arial" w:hAnsi="Arial"/>
          <w:sz w:val="22"/>
        </w:rPr>
        <w:t>Date:</w:t>
      </w:r>
      <w:r>
        <w:tab/>
      </w:r>
      <w:r w:rsidR="00866874">
        <w:t xml:space="preserve"> </w:t>
      </w:r>
      <w:r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12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bookmarkStart w:id="2" w:name="Text4"/>
      <w:r>
        <w:rPr>
          <w:rFonts w:ascii="Arial" w:hAnsi="Arial"/>
          <w:noProof/>
          <w:sz w:val="22"/>
        </w:rPr>
        <w:t>     </w:t>
      </w:r>
      <w:r>
        <w:fldChar w:fldCharType="end"/>
      </w:r>
      <w:bookmarkEnd w:id="2"/>
      <w:r>
        <w:tab/>
      </w:r>
      <w:r>
        <w:rPr>
          <w:rFonts w:ascii="Arial" w:hAnsi="Arial"/>
          <w:sz w:val="22"/>
        </w:rPr>
        <w:t>(Legally binding signature</w:t>
      </w:r>
    </w:p>
    <w:p w:rsidR="00D41A9A" w:rsidRDefault="00B67447" w:rsidP="000F2454">
      <w:pPr>
        <w:tabs>
          <w:tab w:val="left" w:pos="851"/>
        </w:tabs>
        <w:ind w:left="5529" w:hanging="5529"/>
      </w:pPr>
      <w:r>
        <w:tab/>
      </w:r>
      <w:r>
        <w:tab/>
      </w:r>
      <w:r>
        <w:rPr>
          <w:rFonts w:ascii="Arial" w:hAnsi="Arial"/>
          <w:sz w:val="22"/>
        </w:rPr>
        <w:t xml:space="preserve"> and company stamp)</w:t>
      </w:r>
    </w:p>
    <w:sectPr w:rsidR="00D41A9A" w:rsidSect="00B67447">
      <w:headerReference w:type="first" r:id="rId7"/>
      <w:footerReference w:type="first" r:id="rId8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CCD" w:rsidRDefault="00606CCD">
      <w:r>
        <w:separator/>
      </w:r>
    </w:p>
  </w:endnote>
  <w:endnote w:type="continuationSeparator" w:id="0">
    <w:p w:rsidR="00606CCD" w:rsidRDefault="0060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197" w:rsidRDefault="00557197">
    <w:pPr>
      <w:pStyle w:val="Fuzeile"/>
    </w:pPr>
    <w:r>
      <w:rPr>
        <w:rFonts w:ascii="Arial" w:hAnsi="Arial"/>
        <w:sz w:val="22"/>
      </w:rPr>
      <w:t>Annex 1 to the Contract</w:t>
    </w:r>
    <w:r>
      <w:tab/>
    </w:r>
    <w:r w:rsidRPr="000C0630">
      <w:rPr>
        <w:rStyle w:val="Seitenzahl"/>
        <w:rFonts w:ascii="Arial" w:hAnsi="Arial" w:cs="Arial"/>
        <w:sz w:val="22"/>
        <w:szCs w:val="22"/>
      </w:rPr>
      <w:fldChar w:fldCharType="begin"/>
    </w:r>
    <w:r w:rsidRPr="000C0630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0C0630">
      <w:rPr>
        <w:rStyle w:val="Seitenzahl"/>
        <w:rFonts w:ascii="Arial" w:hAnsi="Arial" w:cs="Arial"/>
        <w:sz w:val="22"/>
        <w:szCs w:val="22"/>
      </w:rPr>
      <w:fldChar w:fldCharType="separate"/>
    </w:r>
    <w:r w:rsidR="00F94B86">
      <w:rPr>
        <w:rStyle w:val="Seitenzahl"/>
        <w:rFonts w:ascii="Arial" w:hAnsi="Arial" w:cs="Arial"/>
        <w:noProof/>
        <w:sz w:val="22"/>
        <w:szCs w:val="22"/>
      </w:rPr>
      <w:t>1</w:t>
    </w:r>
    <w:r w:rsidRPr="000C0630">
      <w:rPr>
        <w:rStyle w:val="Seitenzahl"/>
        <w:rFonts w:ascii="Arial" w:hAnsi="Arial" w:cs="Arial"/>
        <w:sz w:val="22"/>
        <w:szCs w:val="22"/>
      </w:rPr>
      <w:fldChar w:fldCharType="end"/>
    </w:r>
    <w:r>
      <w:rPr>
        <w:rFonts w:ascii="Arial" w:hAnsi="Arial"/>
        <w:sz w:val="22"/>
      </w:rPr>
      <w:t>/1</w:t>
    </w:r>
    <w:r>
      <w:tab/>
    </w:r>
    <w:r w:rsidR="00F94B86">
      <w:rPr>
        <w:rFonts w:ascii="Arial" w:hAnsi="Arial"/>
        <w:sz w:val="22"/>
      </w:rPr>
      <w:t>DE</w:t>
    </w:r>
    <w:r w:rsidR="003426A6">
      <w:rPr>
        <w:rFonts w:ascii="Arial" w:hAnsi="Arial"/>
        <w:sz w:val="22"/>
      </w:rPr>
      <w:t>-U</w:t>
    </w:r>
    <w:r>
      <w:rPr>
        <w:rFonts w:ascii="Arial" w:hAnsi="Arial"/>
        <w:sz w:val="22"/>
      </w:rPr>
      <w:t xml:space="preserve">Z 99 Edition </w:t>
    </w:r>
    <w:r w:rsidR="00597702">
      <w:rPr>
        <w:rFonts w:ascii="Arial" w:hAnsi="Arial"/>
        <w:sz w:val="22"/>
      </w:rPr>
      <w:t>January</w:t>
    </w:r>
    <w:r>
      <w:rPr>
        <w:rFonts w:ascii="Arial" w:hAnsi="Arial"/>
        <w:sz w:val="22"/>
      </w:rPr>
      <w:t xml:space="preserve"> 20</w:t>
    </w:r>
    <w:r w:rsidR="00597702">
      <w:rPr>
        <w:rFonts w:ascii="Arial" w:hAnsi="Arial"/>
        <w:sz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CCD" w:rsidRDefault="00606CCD">
      <w:r>
        <w:separator/>
      </w:r>
    </w:p>
  </w:footnote>
  <w:footnote w:type="continuationSeparator" w:id="0">
    <w:p w:rsidR="00606CCD" w:rsidRDefault="00606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9B9" w:rsidRDefault="00F94B86" w:rsidP="009F79B9">
    <w:pPr>
      <w:pStyle w:val="Kopfzeile"/>
      <w:jc w:val="right"/>
    </w:pPr>
    <w:r>
      <w:rPr>
        <w:noProof/>
        <w:lang w:val="de-DE" w:eastAsia="de-DE" w:bidi="ar-SA"/>
      </w:rPr>
      <w:drawing>
        <wp:inline distT="0" distB="0" distL="0" distR="0" wp14:anchorId="1EFEB9EA" wp14:editId="2D2EFC42">
          <wp:extent cx="910800" cy="633600"/>
          <wp:effectExtent l="0" t="0" r="381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8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F79B9" w:rsidRDefault="009F79B9" w:rsidP="009F79B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41CF16C"/>
    <w:lvl w:ilvl="0">
      <w:numFmt w:val="bullet"/>
      <w:lvlText w:val="*"/>
      <w:lvlJc w:val="left"/>
    </w:lvl>
  </w:abstractNum>
  <w:abstractNum w:abstractNumId="1" w15:restartNumberingAfterBreak="0">
    <w:nsid w:val="2F5349A1"/>
    <w:multiLevelType w:val="hybridMultilevel"/>
    <w:tmpl w:val="C12683FC"/>
    <w:lvl w:ilvl="0" w:tplc="2AB6D5F8">
      <w:start w:val="1"/>
      <w:numFmt w:val="bullet"/>
      <w:lvlText w:val="-"/>
      <w:lvlJc w:val="left"/>
      <w:pPr>
        <w:ind w:left="1211" w:hanging="360"/>
      </w:pPr>
      <w:rPr>
        <w:rFonts w:ascii="Tahoma" w:hAnsi="Tahoma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JBX+6Ft+z9QoDnd57FPuoPGaCCJj19Z97Hn+caJzCkVI9ytRsR1H1H56zc/w5eTF3hsmGBnWMjAwrdRYNZ5fQ==" w:salt="m3a/QGS0ppGMyjb78ZMJw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75311"/>
    <w:rsid w:val="000815AE"/>
    <w:rsid w:val="00086EE7"/>
    <w:rsid w:val="00091EF2"/>
    <w:rsid w:val="00092B9D"/>
    <w:rsid w:val="00095ED0"/>
    <w:rsid w:val="000A35CC"/>
    <w:rsid w:val="000A5108"/>
    <w:rsid w:val="000B33B5"/>
    <w:rsid w:val="000B5DDF"/>
    <w:rsid w:val="000C4C8C"/>
    <w:rsid w:val="000E3FF9"/>
    <w:rsid w:val="000E60D8"/>
    <w:rsid w:val="000F076C"/>
    <w:rsid w:val="000F1DDC"/>
    <w:rsid w:val="000F2454"/>
    <w:rsid w:val="000F2ED8"/>
    <w:rsid w:val="00102688"/>
    <w:rsid w:val="00106B61"/>
    <w:rsid w:val="00107296"/>
    <w:rsid w:val="00110406"/>
    <w:rsid w:val="001132C0"/>
    <w:rsid w:val="001162B4"/>
    <w:rsid w:val="00117228"/>
    <w:rsid w:val="00120952"/>
    <w:rsid w:val="00122B8C"/>
    <w:rsid w:val="00137532"/>
    <w:rsid w:val="00137F85"/>
    <w:rsid w:val="0015045F"/>
    <w:rsid w:val="00152E45"/>
    <w:rsid w:val="001543CB"/>
    <w:rsid w:val="001626E9"/>
    <w:rsid w:val="00162A35"/>
    <w:rsid w:val="00166473"/>
    <w:rsid w:val="00175510"/>
    <w:rsid w:val="00176155"/>
    <w:rsid w:val="00177947"/>
    <w:rsid w:val="00180613"/>
    <w:rsid w:val="0018580B"/>
    <w:rsid w:val="001859FD"/>
    <w:rsid w:val="001936B6"/>
    <w:rsid w:val="00195D6C"/>
    <w:rsid w:val="001A3053"/>
    <w:rsid w:val="001B1B87"/>
    <w:rsid w:val="001B22C2"/>
    <w:rsid w:val="001B280C"/>
    <w:rsid w:val="001B411D"/>
    <w:rsid w:val="001B653A"/>
    <w:rsid w:val="001B7CD6"/>
    <w:rsid w:val="001C240C"/>
    <w:rsid w:val="001C6A96"/>
    <w:rsid w:val="001D0E7D"/>
    <w:rsid w:val="001D5874"/>
    <w:rsid w:val="001D7E86"/>
    <w:rsid w:val="001E092B"/>
    <w:rsid w:val="001E5BAB"/>
    <w:rsid w:val="001F0CB6"/>
    <w:rsid w:val="001F1317"/>
    <w:rsid w:val="001F1C81"/>
    <w:rsid w:val="001F49F2"/>
    <w:rsid w:val="00212136"/>
    <w:rsid w:val="00216EE9"/>
    <w:rsid w:val="00217624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E5BB9"/>
    <w:rsid w:val="002E6E57"/>
    <w:rsid w:val="002F0295"/>
    <w:rsid w:val="002F4983"/>
    <w:rsid w:val="003115E3"/>
    <w:rsid w:val="00323916"/>
    <w:rsid w:val="003308F4"/>
    <w:rsid w:val="003327F4"/>
    <w:rsid w:val="003363F0"/>
    <w:rsid w:val="003426A6"/>
    <w:rsid w:val="00342C0D"/>
    <w:rsid w:val="00346F3E"/>
    <w:rsid w:val="00356883"/>
    <w:rsid w:val="003650F1"/>
    <w:rsid w:val="00366580"/>
    <w:rsid w:val="003819D5"/>
    <w:rsid w:val="0038204A"/>
    <w:rsid w:val="00386DE2"/>
    <w:rsid w:val="00395C95"/>
    <w:rsid w:val="003A166F"/>
    <w:rsid w:val="003A2F45"/>
    <w:rsid w:val="003B4142"/>
    <w:rsid w:val="003B54CB"/>
    <w:rsid w:val="003B5D37"/>
    <w:rsid w:val="003B6A2A"/>
    <w:rsid w:val="003C19D9"/>
    <w:rsid w:val="003C4068"/>
    <w:rsid w:val="003C65A0"/>
    <w:rsid w:val="003C7B10"/>
    <w:rsid w:val="003D7EA2"/>
    <w:rsid w:val="003E6A03"/>
    <w:rsid w:val="003F0EF7"/>
    <w:rsid w:val="003F4380"/>
    <w:rsid w:val="003F6B9B"/>
    <w:rsid w:val="00402279"/>
    <w:rsid w:val="00411A3E"/>
    <w:rsid w:val="00412AF5"/>
    <w:rsid w:val="00417181"/>
    <w:rsid w:val="00417B32"/>
    <w:rsid w:val="00420871"/>
    <w:rsid w:val="004245E8"/>
    <w:rsid w:val="00427985"/>
    <w:rsid w:val="00430F88"/>
    <w:rsid w:val="00431BD6"/>
    <w:rsid w:val="004356C5"/>
    <w:rsid w:val="00441033"/>
    <w:rsid w:val="00446754"/>
    <w:rsid w:val="00453C6F"/>
    <w:rsid w:val="00454A69"/>
    <w:rsid w:val="00462B7E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A2601"/>
    <w:rsid w:val="004B0385"/>
    <w:rsid w:val="004B7350"/>
    <w:rsid w:val="004C33C1"/>
    <w:rsid w:val="004D1C64"/>
    <w:rsid w:val="004D6F3B"/>
    <w:rsid w:val="004E27D6"/>
    <w:rsid w:val="004F5803"/>
    <w:rsid w:val="005036C2"/>
    <w:rsid w:val="00515663"/>
    <w:rsid w:val="005241F4"/>
    <w:rsid w:val="0052612C"/>
    <w:rsid w:val="005302FF"/>
    <w:rsid w:val="005306F2"/>
    <w:rsid w:val="00545156"/>
    <w:rsid w:val="00551731"/>
    <w:rsid w:val="005549AA"/>
    <w:rsid w:val="00557197"/>
    <w:rsid w:val="00567DA5"/>
    <w:rsid w:val="005719B8"/>
    <w:rsid w:val="005730E7"/>
    <w:rsid w:val="00574FD4"/>
    <w:rsid w:val="005766C4"/>
    <w:rsid w:val="00583823"/>
    <w:rsid w:val="005919DA"/>
    <w:rsid w:val="00592A1A"/>
    <w:rsid w:val="00595747"/>
    <w:rsid w:val="00597702"/>
    <w:rsid w:val="005A1FB4"/>
    <w:rsid w:val="005A428B"/>
    <w:rsid w:val="005B6CEC"/>
    <w:rsid w:val="005B780C"/>
    <w:rsid w:val="005D153F"/>
    <w:rsid w:val="005F0B28"/>
    <w:rsid w:val="00603CCD"/>
    <w:rsid w:val="00606CCD"/>
    <w:rsid w:val="00613664"/>
    <w:rsid w:val="00613C48"/>
    <w:rsid w:val="0061661C"/>
    <w:rsid w:val="00616C85"/>
    <w:rsid w:val="006170CD"/>
    <w:rsid w:val="00620E73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2576"/>
    <w:rsid w:val="006A4FB3"/>
    <w:rsid w:val="006A5034"/>
    <w:rsid w:val="006A742D"/>
    <w:rsid w:val="006B0DB7"/>
    <w:rsid w:val="006B22F5"/>
    <w:rsid w:val="006B2B5A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6361"/>
    <w:rsid w:val="007371BC"/>
    <w:rsid w:val="007379F7"/>
    <w:rsid w:val="00740A9A"/>
    <w:rsid w:val="00743D7B"/>
    <w:rsid w:val="00744DAB"/>
    <w:rsid w:val="00751A89"/>
    <w:rsid w:val="00752BEA"/>
    <w:rsid w:val="00753353"/>
    <w:rsid w:val="00755C9E"/>
    <w:rsid w:val="0075605F"/>
    <w:rsid w:val="00756B94"/>
    <w:rsid w:val="00756EE3"/>
    <w:rsid w:val="00763DAE"/>
    <w:rsid w:val="007679EF"/>
    <w:rsid w:val="00772B9D"/>
    <w:rsid w:val="00781100"/>
    <w:rsid w:val="00781FD3"/>
    <w:rsid w:val="007831B8"/>
    <w:rsid w:val="0078665C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05CE3"/>
    <w:rsid w:val="00821520"/>
    <w:rsid w:val="0082198C"/>
    <w:rsid w:val="00826E90"/>
    <w:rsid w:val="008308CC"/>
    <w:rsid w:val="00833DF3"/>
    <w:rsid w:val="00834019"/>
    <w:rsid w:val="008373C2"/>
    <w:rsid w:val="008411EC"/>
    <w:rsid w:val="00843FDD"/>
    <w:rsid w:val="00844504"/>
    <w:rsid w:val="00844A4D"/>
    <w:rsid w:val="00844CA9"/>
    <w:rsid w:val="00862A06"/>
    <w:rsid w:val="00866874"/>
    <w:rsid w:val="0086718F"/>
    <w:rsid w:val="00884374"/>
    <w:rsid w:val="008867B6"/>
    <w:rsid w:val="00887087"/>
    <w:rsid w:val="00897895"/>
    <w:rsid w:val="008A5DF8"/>
    <w:rsid w:val="008C76FE"/>
    <w:rsid w:val="008D0AE5"/>
    <w:rsid w:val="008D159F"/>
    <w:rsid w:val="008F1BFA"/>
    <w:rsid w:val="008F6F65"/>
    <w:rsid w:val="00902157"/>
    <w:rsid w:val="00913B10"/>
    <w:rsid w:val="0091494D"/>
    <w:rsid w:val="00914BCF"/>
    <w:rsid w:val="00930101"/>
    <w:rsid w:val="0093366D"/>
    <w:rsid w:val="00936966"/>
    <w:rsid w:val="00940D1E"/>
    <w:rsid w:val="009500F7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A29B3"/>
    <w:rsid w:val="009B22DD"/>
    <w:rsid w:val="009B316C"/>
    <w:rsid w:val="009B4DB4"/>
    <w:rsid w:val="009C3F40"/>
    <w:rsid w:val="009D3163"/>
    <w:rsid w:val="009D4A60"/>
    <w:rsid w:val="009D50B6"/>
    <w:rsid w:val="009D5E2B"/>
    <w:rsid w:val="009E009D"/>
    <w:rsid w:val="009E0246"/>
    <w:rsid w:val="009E5B1B"/>
    <w:rsid w:val="009F3E3E"/>
    <w:rsid w:val="009F79B9"/>
    <w:rsid w:val="00A02F27"/>
    <w:rsid w:val="00A06BF6"/>
    <w:rsid w:val="00A24528"/>
    <w:rsid w:val="00A2646C"/>
    <w:rsid w:val="00A33AE6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0FC4"/>
    <w:rsid w:val="00AE523F"/>
    <w:rsid w:val="00AE730B"/>
    <w:rsid w:val="00AF7935"/>
    <w:rsid w:val="00B01DED"/>
    <w:rsid w:val="00B04458"/>
    <w:rsid w:val="00B058F9"/>
    <w:rsid w:val="00B06288"/>
    <w:rsid w:val="00B13E12"/>
    <w:rsid w:val="00B211A8"/>
    <w:rsid w:val="00B33C5E"/>
    <w:rsid w:val="00B43D72"/>
    <w:rsid w:val="00B443D7"/>
    <w:rsid w:val="00B44D11"/>
    <w:rsid w:val="00B53E47"/>
    <w:rsid w:val="00B54BD1"/>
    <w:rsid w:val="00B67447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639"/>
    <w:rsid w:val="00C268FE"/>
    <w:rsid w:val="00C26994"/>
    <w:rsid w:val="00C27BB8"/>
    <w:rsid w:val="00C31691"/>
    <w:rsid w:val="00C344D9"/>
    <w:rsid w:val="00C414F3"/>
    <w:rsid w:val="00C4316F"/>
    <w:rsid w:val="00C433C6"/>
    <w:rsid w:val="00C44F73"/>
    <w:rsid w:val="00C52039"/>
    <w:rsid w:val="00C5216A"/>
    <w:rsid w:val="00C53FD9"/>
    <w:rsid w:val="00C546B6"/>
    <w:rsid w:val="00C55637"/>
    <w:rsid w:val="00C6025C"/>
    <w:rsid w:val="00C62AF9"/>
    <w:rsid w:val="00C65D71"/>
    <w:rsid w:val="00C7072D"/>
    <w:rsid w:val="00C72DDA"/>
    <w:rsid w:val="00C74469"/>
    <w:rsid w:val="00C7561C"/>
    <w:rsid w:val="00C83E68"/>
    <w:rsid w:val="00C8555C"/>
    <w:rsid w:val="00C866B2"/>
    <w:rsid w:val="00C87CA5"/>
    <w:rsid w:val="00C91C92"/>
    <w:rsid w:val="00C92D58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CF3424"/>
    <w:rsid w:val="00CF4A43"/>
    <w:rsid w:val="00CF7AE6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731FD"/>
    <w:rsid w:val="00D7666D"/>
    <w:rsid w:val="00D815C4"/>
    <w:rsid w:val="00D82022"/>
    <w:rsid w:val="00D85D37"/>
    <w:rsid w:val="00D91462"/>
    <w:rsid w:val="00D91F60"/>
    <w:rsid w:val="00D946E7"/>
    <w:rsid w:val="00D94B4A"/>
    <w:rsid w:val="00DA2410"/>
    <w:rsid w:val="00DA2FE9"/>
    <w:rsid w:val="00DA57E9"/>
    <w:rsid w:val="00DA5F68"/>
    <w:rsid w:val="00DB6C73"/>
    <w:rsid w:val="00DE2536"/>
    <w:rsid w:val="00DF2E1C"/>
    <w:rsid w:val="00DF4E6A"/>
    <w:rsid w:val="00E03F59"/>
    <w:rsid w:val="00E07302"/>
    <w:rsid w:val="00E17E2F"/>
    <w:rsid w:val="00E23BD4"/>
    <w:rsid w:val="00E43492"/>
    <w:rsid w:val="00E522DF"/>
    <w:rsid w:val="00E55DED"/>
    <w:rsid w:val="00E567BC"/>
    <w:rsid w:val="00E72BFC"/>
    <w:rsid w:val="00E73F58"/>
    <w:rsid w:val="00E95B15"/>
    <w:rsid w:val="00EA0206"/>
    <w:rsid w:val="00EA0DB5"/>
    <w:rsid w:val="00EA0F36"/>
    <w:rsid w:val="00EA5CEF"/>
    <w:rsid w:val="00EB1D78"/>
    <w:rsid w:val="00EB5C53"/>
    <w:rsid w:val="00EC2661"/>
    <w:rsid w:val="00EC4191"/>
    <w:rsid w:val="00ED2B5B"/>
    <w:rsid w:val="00ED2DE9"/>
    <w:rsid w:val="00ED5468"/>
    <w:rsid w:val="00ED6F0A"/>
    <w:rsid w:val="00EF0A16"/>
    <w:rsid w:val="00EF52BC"/>
    <w:rsid w:val="00F005DB"/>
    <w:rsid w:val="00F03436"/>
    <w:rsid w:val="00F047A7"/>
    <w:rsid w:val="00F050CB"/>
    <w:rsid w:val="00F07FBA"/>
    <w:rsid w:val="00F105EF"/>
    <w:rsid w:val="00F120F6"/>
    <w:rsid w:val="00F17128"/>
    <w:rsid w:val="00F20E22"/>
    <w:rsid w:val="00F21CB8"/>
    <w:rsid w:val="00F25B26"/>
    <w:rsid w:val="00F30ED0"/>
    <w:rsid w:val="00F3326F"/>
    <w:rsid w:val="00F345AE"/>
    <w:rsid w:val="00F42B84"/>
    <w:rsid w:val="00F473A3"/>
    <w:rsid w:val="00F50CFE"/>
    <w:rsid w:val="00F523A6"/>
    <w:rsid w:val="00F730FA"/>
    <w:rsid w:val="00F80D83"/>
    <w:rsid w:val="00F82F84"/>
    <w:rsid w:val="00F8633C"/>
    <w:rsid w:val="00F869AB"/>
    <w:rsid w:val="00F93CAE"/>
    <w:rsid w:val="00F94B86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2F8D90"/>
  <w15:docId w15:val="{BA4E2E8F-B66E-4706-BAC7-48A933F9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6744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B6744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6744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6744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8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874"/>
    <w:rPr>
      <w:rFonts w:ascii="Tahoma" w:hAnsi="Tahoma" w:cs="Tahoma"/>
      <w:sz w:val="16"/>
      <w:szCs w:val="16"/>
    </w:rPr>
  </w:style>
  <w:style w:type="paragraph" w:customStyle="1" w:styleId="AufzhlungPunkt1">
    <w:name w:val="Aufzählung Punkt 1"/>
    <w:basedOn w:val="Standard"/>
    <w:link w:val="AufzhlungPunkt1Zchn"/>
    <w:qFormat/>
    <w:rsid w:val="00597702"/>
    <w:pPr>
      <w:numPr>
        <w:numId w:val="3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 w:bidi="ar-SA"/>
    </w:rPr>
  </w:style>
  <w:style w:type="character" w:customStyle="1" w:styleId="AufzhlungPunkt1Zchn">
    <w:name w:val="Aufzählung Punkt 1 Zchn"/>
    <w:basedOn w:val="Absatz-Standardschriftart"/>
    <w:link w:val="AufzhlungPunkt1"/>
    <w:rsid w:val="00597702"/>
    <w:rPr>
      <w:rFonts w:ascii="Verdana" w:eastAsiaTheme="minorEastAsia" w:hAnsi="Verdana" w:cstheme="minorBidi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99</vt:lpstr>
    </vt:vector>
  </TitlesOfParts>
  <Company>RAL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99</dc:title>
  <dc:creator>hermann</dc:creator>
  <cp:lastModifiedBy>Pott, Antonia</cp:lastModifiedBy>
  <cp:revision>4</cp:revision>
  <cp:lastPrinted>2013-05-08T07:27:00Z</cp:lastPrinted>
  <dcterms:created xsi:type="dcterms:W3CDTF">2018-08-03T07:36:00Z</dcterms:created>
  <dcterms:modified xsi:type="dcterms:W3CDTF">2021-02-24T09:28:00Z</dcterms:modified>
</cp:coreProperties>
</file>