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40"/>
        <w:gridCol w:w="567"/>
        <w:gridCol w:w="2552"/>
      </w:tblGrid>
      <w:tr w:rsidR="00C63881" w:rsidRPr="007625BE">
        <w:tc>
          <w:tcPr>
            <w:tcW w:w="5740" w:type="dxa"/>
            <w:tcBorders>
              <w:top w:val="nil"/>
              <w:left w:val="nil"/>
              <w:bottom w:val="nil"/>
              <w:right w:val="nil"/>
            </w:tcBorders>
          </w:tcPr>
          <w:p w:rsidR="00D01E80" w:rsidRPr="007625BE" w:rsidRDefault="00D01E80" w:rsidP="00C63881">
            <w:pPr>
              <w:numPr>
                <w:ilvl w:val="12"/>
                <w:numId w:val="0"/>
              </w:numPr>
              <w:tabs>
                <w:tab w:val="left" w:pos="5670"/>
              </w:tabs>
              <w:rPr>
                <w:rFonts w:ascii="Arial" w:hAnsi="Arial" w:cs="Arial"/>
                <w:b/>
                <w:sz w:val="22"/>
                <w:szCs w:val="22"/>
                <w:u w:val="single"/>
                <w:lang w:val="en-GB"/>
              </w:rPr>
            </w:pPr>
            <w:r w:rsidRPr="007625BE">
              <w:rPr>
                <w:rFonts w:ascii="Arial" w:hAnsi="Arial" w:cs="Arial"/>
                <w:b/>
                <w:sz w:val="22"/>
                <w:szCs w:val="22"/>
                <w:lang w:val="en-GB"/>
              </w:rPr>
              <w:t xml:space="preserve">Annex 2 to the Contract pursuant to </w:t>
            </w:r>
            <w:r w:rsidR="00365F54">
              <w:rPr>
                <w:rFonts w:ascii="Arial" w:hAnsi="Arial" w:cs="Arial"/>
                <w:b/>
                <w:sz w:val="22"/>
                <w:szCs w:val="22"/>
                <w:lang w:val="en-GB"/>
              </w:rPr>
              <w:t>DE</w:t>
            </w:r>
            <w:r w:rsidRPr="007625BE">
              <w:rPr>
                <w:rFonts w:ascii="Arial" w:hAnsi="Arial" w:cs="Arial"/>
                <w:b/>
                <w:sz w:val="22"/>
                <w:szCs w:val="22"/>
                <w:lang w:val="en-GB"/>
              </w:rPr>
              <w:t>-UZ 156</w:t>
            </w:r>
          </w:p>
          <w:p w:rsidR="00C63881" w:rsidRPr="007625BE" w:rsidRDefault="00C63881" w:rsidP="00C63881">
            <w:pPr>
              <w:numPr>
                <w:ilvl w:val="12"/>
                <w:numId w:val="0"/>
              </w:numPr>
              <w:tabs>
                <w:tab w:val="left" w:pos="5670"/>
              </w:tabs>
              <w:rPr>
                <w:rFonts w:ascii="Arial" w:hAnsi="Arial" w:cs="Arial"/>
                <w:b/>
                <w:sz w:val="22"/>
                <w:szCs w:val="22"/>
                <w:u w:val="single"/>
                <w:lang w:val="en-GB"/>
              </w:rPr>
            </w:pPr>
          </w:p>
          <w:p w:rsidR="00C63881" w:rsidRPr="007625BE" w:rsidRDefault="00C63881" w:rsidP="00C63881">
            <w:pPr>
              <w:numPr>
                <w:ilvl w:val="12"/>
                <w:numId w:val="0"/>
              </w:numPr>
              <w:pBdr>
                <w:bottom w:val="single" w:sz="6" w:space="1" w:color="auto"/>
              </w:pBdr>
              <w:tabs>
                <w:tab w:val="left" w:pos="5670"/>
              </w:tabs>
              <w:rPr>
                <w:rFonts w:ascii="Arial" w:hAnsi="Arial" w:cs="Arial"/>
                <w:b/>
                <w:sz w:val="22"/>
                <w:szCs w:val="22"/>
                <w:lang w:val="en-GB"/>
              </w:rPr>
            </w:pPr>
            <w:r w:rsidRPr="007625BE">
              <w:rPr>
                <w:rFonts w:ascii="Arial" w:hAnsi="Arial" w:cs="Arial"/>
                <w:b/>
                <w:sz w:val="22"/>
                <w:szCs w:val="22"/>
                <w:lang w:val="en-GB"/>
              </w:rPr>
              <w:t>Blue Angel Eco-Label for</w:t>
            </w:r>
          </w:p>
          <w:p w:rsidR="00C63881" w:rsidRPr="007625BE" w:rsidRDefault="00C63881" w:rsidP="00C63881">
            <w:pPr>
              <w:numPr>
                <w:ilvl w:val="12"/>
                <w:numId w:val="0"/>
              </w:numPr>
              <w:pBdr>
                <w:bottom w:val="single" w:sz="6" w:space="1" w:color="auto"/>
              </w:pBdr>
              <w:tabs>
                <w:tab w:val="left" w:pos="5670"/>
              </w:tabs>
              <w:rPr>
                <w:rFonts w:ascii="Arial" w:hAnsi="Arial" w:cs="Arial"/>
                <w:b/>
                <w:sz w:val="22"/>
                <w:szCs w:val="22"/>
                <w:u w:val="single"/>
                <w:lang w:val="en-GB"/>
              </w:rPr>
            </w:pPr>
            <w:r w:rsidRPr="007625BE">
              <w:rPr>
                <w:rFonts w:ascii="Arial" w:hAnsi="Arial" w:cs="Arial"/>
                <w:b/>
                <w:sz w:val="22"/>
                <w:szCs w:val="22"/>
                <w:lang w:val="en-GB"/>
              </w:rPr>
              <w:t xml:space="preserve">„Flooring </w:t>
            </w:r>
            <w:proofErr w:type="gramStart"/>
            <w:r w:rsidRPr="007625BE">
              <w:rPr>
                <w:rFonts w:ascii="Arial" w:hAnsi="Arial" w:cs="Arial"/>
                <w:b/>
                <w:sz w:val="22"/>
                <w:szCs w:val="22"/>
                <w:lang w:val="en-GB"/>
              </w:rPr>
              <w:t>Underlays“</w:t>
            </w:r>
            <w:proofErr w:type="gramEnd"/>
          </w:p>
        </w:tc>
        <w:tc>
          <w:tcPr>
            <w:tcW w:w="567" w:type="dxa"/>
            <w:tcBorders>
              <w:top w:val="nil"/>
              <w:left w:val="nil"/>
              <w:bottom w:val="nil"/>
              <w:right w:val="single" w:sz="6" w:space="0" w:color="auto"/>
            </w:tcBorders>
          </w:tcPr>
          <w:p w:rsidR="00C63881" w:rsidRPr="007625BE" w:rsidRDefault="00C63881" w:rsidP="00C63881">
            <w:pPr>
              <w:numPr>
                <w:ilvl w:val="12"/>
                <w:numId w:val="0"/>
              </w:numPr>
              <w:tabs>
                <w:tab w:val="left" w:pos="5670"/>
              </w:tabs>
              <w:rPr>
                <w:rFonts w:ascii="Arial" w:hAnsi="Arial" w:cs="Arial"/>
                <w:b/>
                <w:sz w:val="22"/>
                <w:szCs w:val="22"/>
                <w:u w:val="single"/>
                <w:lang w:val="en-GB"/>
              </w:rPr>
            </w:pPr>
          </w:p>
          <w:p w:rsidR="00C63881" w:rsidRPr="007625BE" w:rsidRDefault="00C63881" w:rsidP="00C63881">
            <w:pPr>
              <w:numPr>
                <w:ilvl w:val="12"/>
                <w:numId w:val="0"/>
              </w:numPr>
              <w:tabs>
                <w:tab w:val="left" w:pos="5670"/>
              </w:tabs>
              <w:rPr>
                <w:rFonts w:ascii="Arial" w:hAnsi="Arial" w:cs="Arial"/>
                <w:b/>
                <w:sz w:val="22"/>
                <w:szCs w:val="22"/>
                <w:u w:val="single"/>
                <w:lang w:val="en-GB"/>
              </w:rPr>
            </w:pPr>
          </w:p>
          <w:p w:rsidR="00C63881" w:rsidRPr="007625BE" w:rsidRDefault="00C63881" w:rsidP="00C63881">
            <w:pPr>
              <w:numPr>
                <w:ilvl w:val="12"/>
                <w:numId w:val="0"/>
              </w:numPr>
              <w:tabs>
                <w:tab w:val="left" w:pos="5670"/>
              </w:tabs>
              <w:rPr>
                <w:rFonts w:ascii="Arial" w:hAnsi="Arial" w:cs="Arial"/>
                <w:b/>
                <w:sz w:val="22"/>
                <w:szCs w:val="22"/>
                <w:lang w:val="en-GB"/>
              </w:rPr>
            </w:pPr>
          </w:p>
        </w:tc>
        <w:tc>
          <w:tcPr>
            <w:tcW w:w="2552" w:type="dxa"/>
            <w:tcBorders>
              <w:top w:val="single" w:sz="6" w:space="0" w:color="auto"/>
              <w:left w:val="nil"/>
              <w:bottom w:val="single" w:sz="6" w:space="0" w:color="auto"/>
              <w:right w:val="single" w:sz="6" w:space="0" w:color="auto"/>
            </w:tcBorders>
          </w:tcPr>
          <w:p w:rsidR="00C63881" w:rsidRPr="007625BE" w:rsidRDefault="00C63881" w:rsidP="00C63881">
            <w:pPr>
              <w:numPr>
                <w:ilvl w:val="12"/>
                <w:numId w:val="0"/>
              </w:numPr>
              <w:tabs>
                <w:tab w:val="left" w:pos="5670"/>
              </w:tabs>
              <w:spacing w:before="120"/>
              <w:jc w:val="center"/>
              <w:rPr>
                <w:rFonts w:ascii="Arial" w:hAnsi="Arial" w:cs="Arial"/>
                <w:b/>
                <w:sz w:val="22"/>
                <w:szCs w:val="22"/>
                <w:lang w:val="en-GB"/>
              </w:rPr>
            </w:pPr>
            <w:r w:rsidRPr="007625BE">
              <w:rPr>
                <w:rFonts w:ascii="Arial" w:hAnsi="Arial" w:cs="Arial"/>
                <w:b/>
                <w:sz w:val="22"/>
                <w:szCs w:val="22"/>
                <w:lang w:val="en-GB"/>
              </w:rPr>
              <w:t>Please use this</w:t>
            </w:r>
          </w:p>
          <w:p w:rsidR="00C63881" w:rsidRPr="007625BE" w:rsidRDefault="00C63881" w:rsidP="00C63881">
            <w:pPr>
              <w:numPr>
                <w:ilvl w:val="12"/>
                <w:numId w:val="0"/>
              </w:numPr>
              <w:tabs>
                <w:tab w:val="left" w:pos="5670"/>
              </w:tabs>
              <w:jc w:val="center"/>
              <w:rPr>
                <w:rFonts w:ascii="Arial" w:hAnsi="Arial" w:cs="Arial"/>
                <w:b/>
                <w:sz w:val="22"/>
                <w:szCs w:val="22"/>
                <w:lang w:val="en-GB"/>
              </w:rPr>
            </w:pPr>
          </w:p>
          <w:p w:rsidR="00C63881" w:rsidRPr="007625BE" w:rsidRDefault="00C63881" w:rsidP="00C63881">
            <w:pPr>
              <w:numPr>
                <w:ilvl w:val="12"/>
                <w:numId w:val="0"/>
              </w:numPr>
              <w:tabs>
                <w:tab w:val="left" w:pos="5670"/>
              </w:tabs>
              <w:jc w:val="center"/>
              <w:rPr>
                <w:rFonts w:ascii="Arial" w:hAnsi="Arial" w:cs="Arial"/>
                <w:b/>
                <w:sz w:val="22"/>
                <w:szCs w:val="22"/>
                <w:lang w:val="en-GB"/>
              </w:rPr>
            </w:pPr>
            <w:proofErr w:type="gramStart"/>
            <w:r w:rsidRPr="007625BE">
              <w:rPr>
                <w:rFonts w:ascii="Arial" w:hAnsi="Arial" w:cs="Arial"/>
                <w:b/>
                <w:sz w:val="22"/>
                <w:szCs w:val="22"/>
                <w:lang w:val="en-GB"/>
              </w:rPr>
              <w:t>form !</w:t>
            </w:r>
            <w:proofErr w:type="gramEnd"/>
          </w:p>
          <w:p w:rsidR="00C63881" w:rsidRPr="007625BE" w:rsidRDefault="00C63881" w:rsidP="00C63881">
            <w:pPr>
              <w:numPr>
                <w:ilvl w:val="12"/>
                <w:numId w:val="0"/>
              </w:numPr>
              <w:tabs>
                <w:tab w:val="left" w:pos="5670"/>
              </w:tabs>
              <w:rPr>
                <w:rFonts w:ascii="Arial" w:hAnsi="Arial" w:cs="Arial"/>
                <w:b/>
                <w:sz w:val="22"/>
                <w:szCs w:val="22"/>
                <w:lang w:val="en-GB"/>
              </w:rPr>
            </w:pPr>
          </w:p>
        </w:tc>
      </w:tr>
    </w:tbl>
    <w:p w:rsidR="00C63881" w:rsidRPr="007625BE" w:rsidRDefault="00C63881" w:rsidP="00C63881">
      <w:pPr>
        <w:numPr>
          <w:ilvl w:val="12"/>
          <w:numId w:val="0"/>
        </w:numPr>
        <w:tabs>
          <w:tab w:val="left" w:pos="5670"/>
        </w:tabs>
        <w:rPr>
          <w:rFonts w:ascii="Arial" w:hAnsi="Arial" w:cs="Arial"/>
          <w:sz w:val="22"/>
          <w:szCs w:val="22"/>
          <w:lang w:val="en-GB"/>
        </w:rPr>
      </w:pPr>
    </w:p>
    <w:p w:rsidR="006B3C9B" w:rsidRPr="006B3C9B" w:rsidRDefault="006B3C9B" w:rsidP="006B3C9B">
      <w:pPr>
        <w:pStyle w:val="berschrift1"/>
        <w:spacing w:line="360" w:lineRule="auto"/>
        <w:rPr>
          <w:sz w:val="22"/>
          <w:szCs w:val="22"/>
          <w:lang w:val="en-GB"/>
        </w:rPr>
      </w:pPr>
      <w:r w:rsidRPr="006B3C9B">
        <w:rPr>
          <w:sz w:val="22"/>
          <w:szCs w:val="22"/>
          <w:lang w:val="en-GB"/>
        </w:rPr>
        <w:t xml:space="preserve">3.1 General Substance Requirements </w:t>
      </w: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Low-emission flooring underlays must not contain, as constituents</w:t>
      </w:r>
      <w:r w:rsidRPr="006B3C9B">
        <w:rPr>
          <w:rStyle w:val="Funotenzeichen"/>
          <w:rFonts w:ascii="Arial" w:hAnsi="Arial" w:cs="Arial"/>
          <w:sz w:val="22"/>
          <w:szCs w:val="22"/>
          <w:lang w:val="en-GB"/>
        </w:rPr>
        <w:footnoteReference w:id="1"/>
      </w:r>
      <w:r w:rsidRPr="006B3C9B">
        <w:rPr>
          <w:rFonts w:ascii="Arial" w:hAnsi="Arial" w:cs="Arial"/>
          <w:sz w:val="22"/>
          <w:szCs w:val="22"/>
          <w:lang w:val="en-GB"/>
        </w:rPr>
        <w:t>, any substances with the following properties:</w:t>
      </w:r>
    </w:p>
    <w:p w:rsidR="006B3C9B" w:rsidRPr="006B3C9B" w:rsidRDefault="006B3C9B" w:rsidP="006B3C9B">
      <w:pPr>
        <w:spacing w:line="360" w:lineRule="auto"/>
        <w:rPr>
          <w:rFonts w:ascii="Arial" w:hAnsi="Arial" w:cs="Arial"/>
          <w:sz w:val="22"/>
          <w:szCs w:val="22"/>
          <w:lang w:val="en-GB"/>
        </w:rPr>
      </w:pP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1.)</w:t>
      </w:r>
      <w:r w:rsidRPr="006B3C9B">
        <w:rPr>
          <w:rFonts w:ascii="Arial" w:hAnsi="Arial" w:cs="Arial"/>
          <w:sz w:val="22"/>
          <w:szCs w:val="22"/>
          <w:lang w:val="en-GB"/>
        </w:rPr>
        <w:tab/>
        <w:t>Substances that have been identified as substances of very high concern under the European Chemicals Regulation REACH (EC/</w:t>
      </w:r>
      <w:r w:rsidRPr="006B3C9B">
        <w:rPr>
          <w:rFonts w:ascii="Arial" w:hAnsi="Arial" w:cs="Arial"/>
          <w:bCs/>
          <w:sz w:val="22"/>
          <w:szCs w:val="22"/>
          <w:lang w:val="en-GB"/>
        </w:rPr>
        <w:t>1907/2006</w:t>
      </w:r>
      <w:r w:rsidRPr="006B3C9B">
        <w:rPr>
          <w:rFonts w:ascii="Arial" w:hAnsi="Arial" w:cs="Arial"/>
          <w:sz w:val="22"/>
          <w:szCs w:val="22"/>
          <w:lang w:val="en-GB"/>
        </w:rPr>
        <w:t>) and have been included in the list (so-called "Candidate List") set up in accordance with REACH, Article 59 (1).</w:t>
      </w:r>
      <w:r w:rsidRPr="006B3C9B">
        <w:rPr>
          <w:rStyle w:val="Funotenzeichen"/>
          <w:rFonts w:ascii="Arial" w:hAnsi="Arial" w:cs="Arial"/>
          <w:sz w:val="22"/>
          <w:szCs w:val="22"/>
          <w:lang w:val="en-GB"/>
        </w:rPr>
        <w:footnoteReference w:id="2"/>
      </w:r>
    </w:p>
    <w:p w:rsidR="006B3C9B" w:rsidRPr="006B3C9B" w:rsidRDefault="006B3C9B" w:rsidP="006B3C9B">
      <w:pPr>
        <w:spacing w:line="360" w:lineRule="auto"/>
        <w:rPr>
          <w:rFonts w:ascii="Arial" w:hAnsi="Arial" w:cs="Arial"/>
          <w:sz w:val="22"/>
          <w:szCs w:val="22"/>
          <w:lang w:val="en-GB"/>
        </w:rPr>
      </w:pP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2.)</w:t>
      </w:r>
      <w:r w:rsidRPr="006B3C9B">
        <w:rPr>
          <w:rFonts w:ascii="Arial" w:hAnsi="Arial" w:cs="Arial"/>
          <w:sz w:val="22"/>
          <w:szCs w:val="22"/>
          <w:lang w:val="en-GB"/>
        </w:rPr>
        <w:tab/>
        <w:t>Substances that are classified in the following hazard classes and hazard categories under the criteria of the CLP Regulation</w:t>
      </w:r>
      <w:r w:rsidRPr="006B3C9B">
        <w:rPr>
          <w:rStyle w:val="Funotenzeichen"/>
          <w:rFonts w:ascii="Arial" w:hAnsi="Arial" w:cs="Arial"/>
          <w:sz w:val="22"/>
          <w:szCs w:val="22"/>
          <w:lang w:val="en-GB"/>
        </w:rPr>
        <w:footnoteReference w:id="3"/>
      </w:r>
      <w:r w:rsidRPr="006B3C9B">
        <w:rPr>
          <w:rFonts w:ascii="Arial" w:hAnsi="Arial" w:cs="Arial"/>
          <w:sz w:val="22"/>
          <w:szCs w:val="22"/>
          <w:lang w:val="en-GB"/>
        </w:rPr>
        <w:t xml:space="preserve"> or meet the criteria for such classification:</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carcinogenic of category Carc. 1A or Carc. 1B</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germ-cell mutagenic of category Muta. 1A or Muta. 1B</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reprotoxic of category Repr. 1A or Repr. 1B</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acutely toxic of category Acute Tox. 1, Acute Tox. 2 or Acute Tox. 3</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toxic to specific target organs of category STOT single exposure 1, or STOT repeated exposure 1</w:t>
      </w: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The H-Statements corresponding to the hazard classes and hazard categories can be seen from Appendix A.</w:t>
      </w:r>
    </w:p>
    <w:p w:rsidR="006B3C9B" w:rsidRPr="006B3C9B" w:rsidRDefault="006B3C9B" w:rsidP="006B3C9B">
      <w:pPr>
        <w:spacing w:line="360" w:lineRule="auto"/>
        <w:rPr>
          <w:rFonts w:ascii="Arial" w:hAnsi="Arial" w:cs="Arial"/>
          <w:sz w:val="22"/>
          <w:szCs w:val="22"/>
          <w:lang w:val="en-GB"/>
        </w:rPr>
      </w:pP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3.)</w:t>
      </w:r>
      <w:r w:rsidRPr="006B3C9B">
        <w:rPr>
          <w:rFonts w:ascii="Arial" w:hAnsi="Arial" w:cs="Arial"/>
          <w:sz w:val="22"/>
          <w:szCs w:val="22"/>
          <w:lang w:val="en-GB"/>
        </w:rPr>
        <w:tab/>
        <w:t>Substances classified in TRGS 905</w:t>
      </w:r>
      <w:r w:rsidRPr="006B3C9B">
        <w:rPr>
          <w:rStyle w:val="Funotenzeichen"/>
          <w:rFonts w:ascii="Arial" w:hAnsi="Arial" w:cs="Arial"/>
          <w:sz w:val="22"/>
          <w:szCs w:val="22"/>
          <w:lang w:val="en-GB"/>
        </w:rPr>
        <w:footnoteReference w:id="4"/>
      </w:r>
      <w:r w:rsidRPr="006B3C9B">
        <w:rPr>
          <w:rFonts w:ascii="Arial" w:hAnsi="Arial" w:cs="Arial"/>
          <w:sz w:val="22"/>
          <w:szCs w:val="22"/>
          <w:lang w:val="en-GB"/>
        </w:rPr>
        <w:t xml:space="preserve"> as:</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carcinogenic (K1, K2)</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mutagenic (M1, M2)</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reprotoxic (R</w:t>
      </w:r>
      <w:r w:rsidRPr="006B3C9B">
        <w:rPr>
          <w:rStyle w:val="Tiefgestellt"/>
          <w:rFonts w:cs="Arial"/>
          <w:lang w:val="en-GB"/>
        </w:rPr>
        <w:t>F</w:t>
      </w:r>
      <w:r w:rsidRPr="006B3C9B">
        <w:rPr>
          <w:rFonts w:cs="Arial"/>
          <w:lang w:val="en-GB"/>
        </w:rPr>
        <w:t>1, R</w:t>
      </w:r>
      <w:r w:rsidRPr="006B3C9B">
        <w:rPr>
          <w:rStyle w:val="Tiefgestellt"/>
          <w:rFonts w:cs="Arial"/>
          <w:lang w:val="en-GB"/>
        </w:rPr>
        <w:t>F</w:t>
      </w:r>
      <w:r w:rsidRPr="006B3C9B">
        <w:rPr>
          <w:rFonts w:cs="Arial"/>
          <w:lang w:val="en-GB"/>
        </w:rPr>
        <w:t>2)</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teratogenic (RE1, RE2);</w:t>
      </w:r>
    </w:p>
    <w:p w:rsidR="006B3C9B" w:rsidRPr="006B3C9B" w:rsidRDefault="006B3C9B" w:rsidP="006B3C9B">
      <w:pPr>
        <w:spacing w:line="360" w:lineRule="auto"/>
        <w:rPr>
          <w:rFonts w:ascii="Arial" w:hAnsi="Arial" w:cs="Arial"/>
          <w:sz w:val="22"/>
          <w:szCs w:val="22"/>
          <w:lang w:val="en-GB"/>
        </w:rPr>
      </w:pP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lastRenderedPageBreak/>
        <w:t>4.)</w:t>
      </w:r>
      <w:r w:rsidRPr="006B3C9B">
        <w:rPr>
          <w:rFonts w:ascii="Arial" w:hAnsi="Arial" w:cs="Arial"/>
          <w:sz w:val="22"/>
          <w:szCs w:val="22"/>
          <w:lang w:val="en-GB"/>
        </w:rPr>
        <w:tab/>
        <w:t>Substances classified in the MAK Values List</w:t>
      </w:r>
      <w:r w:rsidRPr="006B3C9B">
        <w:rPr>
          <w:rStyle w:val="Funotenzeichen"/>
          <w:rFonts w:ascii="Arial" w:hAnsi="Arial" w:cs="Arial"/>
          <w:sz w:val="22"/>
          <w:szCs w:val="22"/>
          <w:lang w:val="en-GB"/>
        </w:rPr>
        <w:footnoteReference w:id="5"/>
      </w:r>
      <w:r w:rsidRPr="006B3C9B">
        <w:rPr>
          <w:rFonts w:ascii="Arial" w:hAnsi="Arial" w:cs="Arial"/>
          <w:sz w:val="22"/>
          <w:szCs w:val="22"/>
          <w:lang w:val="en-GB"/>
        </w:rPr>
        <w:t xml:space="preserve"> as:</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carcinogenic working materials of Category 1 or Category 2</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germ-cell mutagenic working materials of Category 1 or Category 2.</w:t>
      </w:r>
    </w:p>
    <w:p w:rsidR="006B3C9B" w:rsidRPr="006B3C9B" w:rsidRDefault="006B3C9B" w:rsidP="006B3C9B">
      <w:pPr>
        <w:spacing w:line="360" w:lineRule="auto"/>
        <w:rPr>
          <w:rFonts w:ascii="Arial" w:hAnsi="Arial" w:cs="Arial"/>
          <w:sz w:val="22"/>
          <w:szCs w:val="22"/>
          <w:lang w:val="en-GB"/>
        </w:rPr>
      </w:pPr>
    </w:p>
    <w:p w:rsidR="006B3C9B" w:rsidRPr="006B3C9B" w:rsidRDefault="006B3C9B" w:rsidP="006B3C9B">
      <w:pPr>
        <w:spacing w:line="360" w:lineRule="auto"/>
        <w:rPr>
          <w:rFonts w:ascii="Arial" w:hAnsi="Arial" w:cs="Arial"/>
          <w:sz w:val="22"/>
          <w:szCs w:val="22"/>
          <w:lang w:val="en-GB"/>
        </w:rPr>
      </w:pPr>
      <w:r w:rsidRPr="006B3C9B">
        <w:rPr>
          <w:rFonts w:ascii="Arial" w:hAnsi="Arial" w:cs="Arial"/>
          <w:sz w:val="22"/>
          <w:szCs w:val="22"/>
          <w:lang w:val="en-GB"/>
        </w:rPr>
        <w:t>The following shall be exempt from these regulations:</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Process-related, technically unavoidable impurities falling below the classification thresholds for mixtures.</w:t>
      </w:r>
    </w:p>
    <w:p w:rsidR="006B3C9B" w:rsidRPr="006B3C9B" w:rsidRDefault="006B3C9B" w:rsidP="006B3C9B">
      <w:pPr>
        <w:pStyle w:val="Aufzhlung"/>
        <w:tabs>
          <w:tab w:val="clear" w:pos="1004"/>
        </w:tabs>
        <w:spacing w:line="360" w:lineRule="auto"/>
        <w:ind w:left="720"/>
        <w:rPr>
          <w:rFonts w:cs="Arial"/>
          <w:lang w:val="en-GB"/>
        </w:rPr>
      </w:pPr>
      <w:r w:rsidRPr="006B3C9B">
        <w:rPr>
          <w:rFonts w:cs="Arial"/>
          <w:lang w:val="en-GB"/>
        </w:rPr>
        <w:t>Monomers or additives which turn into polymers during the manufacture of plastics or are chemically (covalently) bound to the plastic if their residual concentrations are below the classification thresholds for mixtures.</w:t>
      </w:r>
    </w:p>
    <w:p w:rsidR="006B3C9B" w:rsidRPr="00CD16CD" w:rsidRDefault="006B3C9B" w:rsidP="006B3C9B">
      <w:pPr>
        <w:spacing w:line="360" w:lineRule="auto"/>
        <w:rPr>
          <w:lang w:val="en-GB"/>
        </w:rPr>
      </w:pPr>
    </w:p>
    <w:p w:rsidR="006B3C9B" w:rsidRPr="00CD16CD" w:rsidRDefault="006B3C9B" w:rsidP="006B3C9B">
      <w:pPr>
        <w:tabs>
          <w:tab w:val="left" w:pos="8505"/>
        </w:tabs>
        <w:spacing w:line="360" w:lineRule="auto"/>
        <w:rPr>
          <w:lang w:val="en-US"/>
        </w:rPr>
      </w:pPr>
      <w:r w:rsidRPr="006B3C9B">
        <w:rPr>
          <w:rFonts w:ascii="Arial" w:hAnsi="Arial" w:cs="Arial"/>
          <w:b/>
          <w:i/>
          <w:sz w:val="22"/>
          <w:szCs w:val="22"/>
          <w:lang w:val="en-GB"/>
        </w:rPr>
        <w:t>The above-mentioned requirements are met</w:t>
      </w:r>
      <w:r>
        <w:rPr>
          <w:b/>
          <w:i/>
          <w:lang w:val="en-GB"/>
        </w:rPr>
        <w:tab/>
      </w:r>
      <w:r w:rsidRPr="00CD16CD">
        <w:rPr>
          <w:lang w:val="en-US"/>
        </w:rPr>
        <w:tab/>
      </w:r>
      <w:r>
        <w:fldChar w:fldCharType="begin">
          <w:ffData>
            <w:name w:val="Kontrollkästchen1"/>
            <w:enabled/>
            <w:calcOnExit w:val="0"/>
            <w:checkBox>
              <w:sizeAuto/>
              <w:default w:val="0"/>
            </w:checkBox>
          </w:ffData>
        </w:fldChar>
      </w:r>
      <w:r w:rsidRPr="00CD16CD">
        <w:rPr>
          <w:lang w:val="en-US"/>
        </w:rPr>
        <w:instrText xml:space="preserve"> FORMCHECKBOX </w:instrText>
      </w:r>
      <w:r w:rsidR="00A5020B">
        <w:fldChar w:fldCharType="separate"/>
      </w:r>
      <w:r>
        <w:fldChar w:fldCharType="end"/>
      </w:r>
    </w:p>
    <w:p w:rsidR="00C63881" w:rsidRPr="006B3C9B" w:rsidRDefault="00C63881" w:rsidP="00C63881">
      <w:pPr>
        <w:numPr>
          <w:ilvl w:val="12"/>
          <w:numId w:val="0"/>
        </w:numPr>
        <w:tabs>
          <w:tab w:val="left" w:pos="5670"/>
        </w:tabs>
        <w:rPr>
          <w:rFonts w:ascii="Arial" w:hAnsi="Arial" w:cs="Arial"/>
          <w:sz w:val="22"/>
          <w:szCs w:val="22"/>
          <w:lang w:val="en-US"/>
        </w:rPr>
      </w:pPr>
    </w:p>
    <w:p w:rsidR="00C63881" w:rsidRDefault="00C63881" w:rsidP="00C63881">
      <w:pPr>
        <w:pStyle w:val="StichpunkteunterStandard"/>
        <w:numPr>
          <w:ilvl w:val="0"/>
          <w:numId w:val="0"/>
        </w:numPr>
        <w:tabs>
          <w:tab w:val="clear" w:pos="907"/>
          <w:tab w:val="left" w:pos="4253"/>
        </w:tabs>
        <w:rPr>
          <w:lang w:val="en-GB"/>
        </w:rPr>
      </w:pPr>
    </w:p>
    <w:p w:rsidR="00C63881" w:rsidRPr="006B3C9B" w:rsidRDefault="00C63881" w:rsidP="00C63881">
      <w:pPr>
        <w:pStyle w:val="StichpunkteunterStandard"/>
        <w:numPr>
          <w:ilvl w:val="0"/>
          <w:numId w:val="0"/>
        </w:numPr>
        <w:tabs>
          <w:tab w:val="clear" w:pos="907"/>
          <w:tab w:val="left" w:pos="4253"/>
        </w:tabs>
        <w:rPr>
          <w:b/>
          <w:lang w:val="en-GB"/>
        </w:rPr>
      </w:pPr>
      <w:r w:rsidRPr="006B3C9B">
        <w:rPr>
          <w:b/>
          <w:lang w:val="en-GB"/>
        </w:rPr>
        <w:t>3.1.5 Use of Blowing Agents in Foam Underlays</w:t>
      </w:r>
    </w:p>
    <w:p w:rsidR="00C63881" w:rsidRPr="006B3C9B" w:rsidRDefault="00C63881" w:rsidP="00C63881">
      <w:pPr>
        <w:pStyle w:val="StichpunkteunterStandard"/>
        <w:numPr>
          <w:ilvl w:val="0"/>
          <w:numId w:val="0"/>
        </w:numPr>
        <w:tabs>
          <w:tab w:val="clear" w:pos="907"/>
          <w:tab w:val="left" w:pos="4253"/>
        </w:tabs>
        <w:rPr>
          <w:lang w:val="en-GB"/>
        </w:rPr>
      </w:pPr>
      <w:r w:rsidRPr="006B3C9B">
        <w:rPr>
          <w:lang w:val="en-GB"/>
        </w:rPr>
        <w:t>Declaration from the Pre-Supplier</w:t>
      </w:r>
    </w:p>
    <w:p w:rsidR="00C63881" w:rsidRPr="007625BE" w:rsidRDefault="00C63881" w:rsidP="00C63881">
      <w:pPr>
        <w:pStyle w:val="StichpunkteunterStandard"/>
        <w:numPr>
          <w:ilvl w:val="0"/>
          <w:numId w:val="0"/>
        </w:numPr>
        <w:tabs>
          <w:tab w:val="clear" w:pos="907"/>
          <w:tab w:val="left" w:pos="4253"/>
        </w:tabs>
        <w:rPr>
          <w:b/>
          <w:lang w:val="en-GB"/>
        </w:rPr>
      </w:pPr>
    </w:p>
    <w:p w:rsidR="00C63881" w:rsidRDefault="00C63881" w:rsidP="00C63881">
      <w:pPr>
        <w:pStyle w:val="StichpunkteunterStandard"/>
        <w:numPr>
          <w:ilvl w:val="0"/>
          <w:numId w:val="0"/>
        </w:numPr>
        <w:tabs>
          <w:tab w:val="clear" w:pos="907"/>
          <w:tab w:val="left" w:pos="4253"/>
        </w:tabs>
        <w:rPr>
          <w:lang w:val="en-GB"/>
        </w:rPr>
      </w:pPr>
      <w:r w:rsidRPr="007625BE">
        <w:rPr>
          <w:lang w:val="en-GB"/>
        </w:rPr>
        <w:t xml:space="preserve">It is hereby declared </w:t>
      </w:r>
    </w:p>
    <w:p w:rsidR="00CB3A7D" w:rsidRPr="00CB3A7D" w:rsidRDefault="00A5020B" w:rsidP="00C63881">
      <w:pPr>
        <w:pStyle w:val="StichpunkteunterStandard"/>
        <w:numPr>
          <w:ilvl w:val="0"/>
          <w:numId w:val="0"/>
        </w:numPr>
        <w:tabs>
          <w:tab w:val="clear" w:pos="907"/>
          <w:tab w:val="left" w:pos="4253"/>
        </w:tabs>
        <w:rPr>
          <w:noProof/>
          <w:lang w:val="en-US"/>
        </w:rPr>
      </w:pPr>
      <w:r>
        <w:rPr>
          <w:lang w:val="en-GB"/>
        </w:rPr>
        <w:t>t</w:t>
      </w:r>
      <w:r w:rsidR="00CB3A7D">
        <w:rPr>
          <w:lang w:val="en-GB"/>
        </w:rPr>
        <w:t xml:space="preserve">hat the company: </w:t>
      </w:r>
      <w:r w:rsidR="00CB3A7D">
        <w:rPr>
          <w:lang w:val="en-GB"/>
        </w:rPr>
        <w:fldChar w:fldCharType="begin">
          <w:ffData>
            <w:name w:val="Text3"/>
            <w:enabled/>
            <w:calcOnExit w:val="0"/>
            <w:textInput/>
          </w:ffData>
        </w:fldChar>
      </w:r>
      <w:bookmarkStart w:id="0" w:name="Text3"/>
      <w:r w:rsidR="00CB3A7D">
        <w:rPr>
          <w:lang w:val="en-GB"/>
        </w:rPr>
        <w:instrText xml:space="preserve"> FORMTEXT </w:instrText>
      </w:r>
      <w:r w:rsidR="00CB3A7D">
        <w:rPr>
          <w:lang w:val="en-GB"/>
        </w:rPr>
      </w:r>
      <w:r w:rsidR="00CB3A7D">
        <w:rPr>
          <w:lang w:val="en-GB"/>
        </w:rPr>
        <w:fldChar w:fldCharType="separate"/>
      </w:r>
      <w:r w:rsidR="00CB3A7D">
        <w:rPr>
          <w:noProof/>
          <w:lang w:val="en-GB"/>
        </w:rPr>
        <w:t> </w:t>
      </w:r>
      <w:r w:rsidR="00CB3A7D">
        <w:rPr>
          <w:noProof/>
          <w:lang w:val="en-GB"/>
        </w:rPr>
        <w:t> </w:t>
      </w:r>
      <w:r w:rsidR="00CB3A7D">
        <w:rPr>
          <w:noProof/>
          <w:lang w:val="en-GB"/>
        </w:rPr>
        <w:t> </w:t>
      </w:r>
      <w:r w:rsidR="00CB3A7D">
        <w:rPr>
          <w:noProof/>
          <w:lang w:val="en-GB"/>
        </w:rPr>
        <w:t> </w:t>
      </w:r>
      <w:r w:rsidR="00CB3A7D">
        <w:rPr>
          <w:noProof/>
          <w:lang w:val="en-GB"/>
        </w:rPr>
        <w:t> </w:t>
      </w:r>
      <w:r w:rsidR="00CB3A7D">
        <w:rPr>
          <w:lang w:val="en-GB"/>
        </w:rPr>
        <w:fldChar w:fldCharType="end"/>
      </w:r>
      <w:bookmarkEnd w:id="0"/>
      <w:r w:rsidR="00CB3A7D">
        <w:rPr>
          <w:noProof/>
        </w:rPr>
        <w:t> </w:t>
      </w:r>
    </w:p>
    <w:p w:rsidR="00CB3A7D" w:rsidRDefault="00A5020B" w:rsidP="00C63881">
      <w:pPr>
        <w:pStyle w:val="StichpunkteunterStandard"/>
        <w:numPr>
          <w:ilvl w:val="0"/>
          <w:numId w:val="0"/>
        </w:numPr>
        <w:tabs>
          <w:tab w:val="clear" w:pos="907"/>
          <w:tab w:val="left" w:pos="4253"/>
        </w:tabs>
        <w:rPr>
          <w:lang w:val="en-GB"/>
        </w:rPr>
      </w:pPr>
      <w:r>
        <w:rPr>
          <w:lang w:val="en-GB"/>
        </w:rPr>
        <w:t>b</w:t>
      </w:r>
      <w:r w:rsidR="00CB3A7D">
        <w:rPr>
          <w:lang w:val="en-GB"/>
        </w:rPr>
        <w:t xml:space="preserve">ased in: </w:t>
      </w:r>
      <w:r w:rsidR="00CB3A7D">
        <w:rPr>
          <w:lang w:val="en-GB"/>
        </w:rPr>
        <w:fldChar w:fldCharType="begin">
          <w:ffData>
            <w:name w:val="Text3"/>
            <w:enabled/>
            <w:calcOnExit w:val="0"/>
            <w:textInput/>
          </w:ffData>
        </w:fldChar>
      </w:r>
      <w:r w:rsidR="00CB3A7D">
        <w:rPr>
          <w:lang w:val="en-GB"/>
        </w:rPr>
        <w:instrText xml:space="preserve"> FORMTEXT </w:instrText>
      </w:r>
      <w:r w:rsidR="00CB3A7D">
        <w:rPr>
          <w:lang w:val="en-GB"/>
        </w:rPr>
      </w:r>
      <w:r w:rsidR="00CB3A7D">
        <w:rPr>
          <w:lang w:val="en-GB"/>
        </w:rPr>
        <w:fldChar w:fldCharType="separate"/>
      </w:r>
      <w:r w:rsidR="00CB3A7D">
        <w:rPr>
          <w:noProof/>
          <w:lang w:val="en-GB"/>
        </w:rPr>
        <w:t> </w:t>
      </w:r>
      <w:r w:rsidR="00CB3A7D">
        <w:rPr>
          <w:noProof/>
          <w:lang w:val="en-GB"/>
        </w:rPr>
        <w:t> </w:t>
      </w:r>
      <w:r w:rsidR="00CB3A7D">
        <w:rPr>
          <w:noProof/>
          <w:lang w:val="en-GB"/>
        </w:rPr>
        <w:t> </w:t>
      </w:r>
      <w:r w:rsidR="00CB3A7D">
        <w:rPr>
          <w:noProof/>
          <w:lang w:val="en-GB"/>
        </w:rPr>
        <w:t> </w:t>
      </w:r>
      <w:r w:rsidR="00CB3A7D">
        <w:rPr>
          <w:noProof/>
          <w:lang w:val="en-GB"/>
        </w:rPr>
        <w:t> </w:t>
      </w:r>
      <w:r w:rsidR="00CB3A7D">
        <w:rPr>
          <w:lang w:val="en-GB"/>
        </w:rPr>
        <w:fldChar w:fldCharType="end"/>
      </w:r>
    </w:p>
    <w:p w:rsidR="00A5020B" w:rsidRDefault="00A5020B" w:rsidP="00C63881">
      <w:pPr>
        <w:pStyle w:val="StichpunkteunterStandard"/>
        <w:numPr>
          <w:ilvl w:val="0"/>
          <w:numId w:val="0"/>
        </w:numPr>
        <w:tabs>
          <w:tab w:val="clear" w:pos="907"/>
          <w:tab w:val="left" w:pos="4253"/>
        </w:tabs>
        <w:rPr>
          <w:lang w:val="en-GB"/>
        </w:rPr>
      </w:pPr>
      <w:r>
        <w:rPr>
          <w:lang w:val="en-GB"/>
        </w:rPr>
        <w:t>, that the blowing agent:</w:t>
      </w:r>
      <w:r w:rsidRPr="00A5020B">
        <w:rPr>
          <w:lang w:val="en-GB"/>
        </w:rPr>
        <w:t xml:space="preserve"> </w:t>
      </w:r>
      <w:r>
        <w:rPr>
          <w:lang w:val="en-GB"/>
        </w:rPr>
        <w:fldChar w:fldCharType="begin">
          <w:ffData>
            <w:name w:val="Text3"/>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rsidR="00A5020B" w:rsidRDefault="00A5020B" w:rsidP="00C63881">
      <w:pPr>
        <w:pStyle w:val="StichpunkteunterStandard"/>
        <w:numPr>
          <w:ilvl w:val="0"/>
          <w:numId w:val="0"/>
        </w:numPr>
        <w:tabs>
          <w:tab w:val="clear" w:pos="907"/>
          <w:tab w:val="left" w:pos="4253"/>
        </w:tabs>
        <w:rPr>
          <w:lang w:val="en-GB"/>
        </w:rPr>
      </w:pPr>
      <w:r>
        <w:rPr>
          <w:lang w:val="en-GB"/>
        </w:rPr>
        <w:t>for the company (ZN):</w:t>
      </w:r>
      <w:r w:rsidRPr="00A5020B">
        <w:rPr>
          <w:lang w:val="en-GB"/>
        </w:rPr>
        <w:t xml:space="preserve"> </w:t>
      </w:r>
      <w:r>
        <w:rPr>
          <w:lang w:val="en-GB"/>
        </w:rPr>
        <w:fldChar w:fldCharType="begin">
          <w:ffData>
            <w:name w:val="Text3"/>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rsidR="00A5020B" w:rsidRDefault="00A5020B" w:rsidP="00C63881">
      <w:pPr>
        <w:pStyle w:val="StichpunkteunterStandard"/>
        <w:numPr>
          <w:ilvl w:val="0"/>
          <w:numId w:val="0"/>
        </w:numPr>
        <w:tabs>
          <w:tab w:val="clear" w:pos="907"/>
          <w:tab w:val="left" w:pos="4253"/>
        </w:tabs>
        <w:rPr>
          <w:lang w:val="en-GB"/>
        </w:rPr>
      </w:pPr>
      <w:r>
        <w:rPr>
          <w:lang w:val="en-GB"/>
        </w:rPr>
        <w:t>for the to be applied</w:t>
      </w:r>
      <w:r w:rsidRPr="00A5020B">
        <w:rPr>
          <w:lang w:val="en-GB"/>
        </w:rPr>
        <w:t xml:space="preserve"> </w:t>
      </w:r>
      <w:r>
        <w:rPr>
          <w:lang w:val="en-GB"/>
        </w:rPr>
        <w:t>product</w:t>
      </w:r>
      <w:r>
        <w:rPr>
          <w:lang w:val="en-GB"/>
        </w:rPr>
        <w:t xml:space="preserve">: </w:t>
      </w:r>
      <w:r>
        <w:rPr>
          <w:lang w:val="en-GB"/>
        </w:rPr>
        <w:fldChar w:fldCharType="begin">
          <w:ffData>
            <w:name w:val="Text3"/>
            <w:enabled/>
            <w:calcOnExit w:val="0"/>
            <w:textInput/>
          </w:ffData>
        </w:fldChar>
      </w:r>
      <w:r>
        <w:rPr>
          <w:lang w:val="en-GB"/>
        </w:rPr>
        <w:instrText xml:space="preserve"> FORMTEXT </w:instrText>
      </w:r>
      <w:r>
        <w:rPr>
          <w:lang w:val="en-GB"/>
        </w:rPr>
      </w:r>
      <w:r>
        <w:rPr>
          <w:lang w:val="en-GB"/>
        </w:rPr>
        <w:fldChar w:fldCharType="separate"/>
      </w:r>
      <w:bookmarkStart w:id="1" w:name="_GoBack"/>
      <w:r>
        <w:rPr>
          <w:noProof/>
          <w:lang w:val="en-GB"/>
        </w:rPr>
        <w:t> </w:t>
      </w:r>
      <w:r>
        <w:rPr>
          <w:noProof/>
          <w:lang w:val="en-GB"/>
        </w:rPr>
        <w:t> </w:t>
      </w:r>
      <w:r>
        <w:rPr>
          <w:noProof/>
          <w:lang w:val="en-GB"/>
        </w:rPr>
        <w:t> </w:t>
      </w:r>
      <w:r>
        <w:rPr>
          <w:noProof/>
          <w:lang w:val="en-GB"/>
        </w:rPr>
        <w:t> </w:t>
      </w:r>
      <w:r>
        <w:rPr>
          <w:noProof/>
          <w:lang w:val="en-GB"/>
        </w:rPr>
        <w:t> </w:t>
      </w:r>
      <w:bookmarkEnd w:id="1"/>
      <w:r>
        <w:rPr>
          <w:lang w:val="en-GB"/>
        </w:rPr>
        <w:fldChar w:fldCharType="end"/>
      </w:r>
    </w:p>
    <w:p w:rsidR="00CB3A7D" w:rsidRDefault="00CB3A7D" w:rsidP="00CB3A7D">
      <w:pPr>
        <w:pStyle w:val="StichpunkteunterStandard"/>
        <w:numPr>
          <w:ilvl w:val="0"/>
          <w:numId w:val="0"/>
        </w:numPr>
        <w:tabs>
          <w:tab w:val="clear" w:pos="907"/>
          <w:tab w:val="left" w:pos="4253"/>
        </w:tabs>
        <w:rPr>
          <w:lang w:val="en-GB"/>
        </w:rPr>
      </w:pPr>
      <w:r w:rsidRPr="00CB3A7D">
        <w:rPr>
          <w:lang w:val="en-GB"/>
        </w:rPr>
        <w:t>meets the following requirements</w:t>
      </w:r>
      <w:r>
        <w:rPr>
          <w:lang w:val="en-GB"/>
        </w:rPr>
        <w:t>:</w:t>
      </w:r>
    </w:p>
    <w:p w:rsidR="00C63881" w:rsidRPr="007625BE" w:rsidRDefault="00CB3A7D" w:rsidP="00CB3A7D">
      <w:pPr>
        <w:pStyle w:val="StichpunkteunterStandard"/>
        <w:numPr>
          <w:ilvl w:val="0"/>
          <w:numId w:val="0"/>
        </w:numPr>
        <w:tabs>
          <w:tab w:val="clear" w:pos="907"/>
          <w:tab w:val="left" w:pos="4253"/>
        </w:tabs>
        <w:rPr>
          <w:lang w:val="en-GB"/>
        </w:rPr>
      </w:pPr>
      <w:r w:rsidRPr="000E5F9D">
        <w:rPr>
          <w:lang w:val="en-GB"/>
        </w:rPr>
        <w:t xml:space="preserve">No halogenated organic compounds may be used as blowing agents (e.g. </w:t>
      </w:r>
      <w:r>
        <w:rPr>
          <w:lang w:val="en-GB"/>
        </w:rPr>
        <w:t xml:space="preserve">fluorinated hydrocarbons [H-FKW] </w:t>
      </w:r>
      <w:r w:rsidRPr="000E5F9D">
        <w:rPr>
          <w:lang w:val="en-GB"/>
        </w:rPr>
        <w:t>in the manufacture of foam underlays</w:t>
      </w:r>
      <w:r>
        <w:rPr>
          <w:lang w:val="en-GB"/>
        </w:rPr>
        <w:t>.</w:t>
      </w:r>
    </w:p>
    <w:p w:rsidR="00C63881" w:rsidRPr="007625BE" w:rsidRDefault="00C63881" w:rsidP="00C63881">
      <w:pPr>
        <w:pStyle w:val="StichpunkteunterStandard"/>
        <w:numPr>
          <w:ilvl w:val="0"/>
          <w:numId w:val="0"/>
        </w:numPr>
        <w:tabs>
          <w:tab w:val="clear" w:pos="907"/>
          <w:tab w:val="left" w:pos="4253"/>
        </w:tabs>
        <w:rPr>
          <w:lang w:val="en-GB"/>
        </w:rPr>
      </w:pPr>
    </w:p>
    <w:p w:rsidR="00C63881" w:rsidRPr="00C70FE7" w:rsidRDefault="00C63881" w:rsidP="00C63881">
      <w:pPr>
        <w:pStyle w:val="StichpunkteunterStandard"/>
        <w:numPr>
          <w:ilvl w:val="0"/>
          <w:numId w:val="0"/>
        </w:numPr>
        <w:tabs>
          <w:tab w:val="clear" w:pos="907"/>
          <w:tab w:val="left" w:pos="4253"/>
          <w:tab w:val="left" w:pos="8789"/>
        </w:tabs>
        <w:rPr>
          <w:lang w:val="en-GB"/>
        </w:rPr>
      </w:pPr>
    </w:p>
    <w:p w:rsidR="00C63881" w:rsidRPr="00C70FE7" w:rsidRDefault="00C63881" w:rsidP="00C63881">
      <w:pPr>
        <w:tabs>
          <w:tab w:val="left" w:pos="851"/>
        </w:tabs>
        <w:ind w:left="5245" w:hanging="5245"/>
        <w:rPr>
          <w:rFonts w:ascii="Arial" w:hAnsi="Arial"/>
          <w:sz w:val="22"/>
          <w:szCs w:val="22"/>
          <w:lang w:val="en-GB"/>
        </w:rPr>
      </w:pPr>
      <w:r w:rsidRPr="00C70FE7">
        <w:rPr>
          <w:rFonts w:ascii="Arial" w:hAnsi="Arial"/>
          <w:sz w:val="22"/>
          <w:szCs w:val="22"/>
          <w:lang w:val="en-GB"/>
        </w:rPr>
        <w:t>Place:</w:t>
      </w:r>
      <w:r w:rsidRPr="00C70FE7">
        <w:rPr>
          <w:rFonts w:ascii="Arial" w:hAnsi="Arial"/>
          <w:sz w:val="22"/>
          <w:szCs w:val="22"/>
          <w:lang w:val="en-GB"/>
        </w:rPr>
        <w:tab/>
      </w:r>
      <w:r w:rsidRPr="00C70FE7">
        <w:rPr>
          <w:rFonts w:ascii="Arial" w:hAnsi="Arial"/>
          <w:sz w:val="22"/>
          <w:szCs w:val="22"/>
          <w:lang w:val="en-GB"/>
        </w:rPr>
        <w:fldChar w:fldCharType="begin">
          <w:ffData>
            <w:name w:val="Text1"/>
            <w:enabled/>
            <w:calcOnExit w:val="0"/>
            <w:textInput>
              <w:maxLength w:val="25"/>
            </w:textInput>
          </w:ffData>
        </w:fldChar>
      </w:r>
      <w:r w:rsidRPr="00C70FE7">
        <w:rPr>
          <w:rFonts w:ascii="Arial" w:hAnsi="Arial"/>
          <w:sz w:val="22"/>
          <w:szCs w:val="22"/>
          <w:lang w:val="en-GB"/>
        </w:rPr>
        <w:instrText xml:space="preserve"> </w:instrText>
      </w:r>
      <w:r w:rsidR="00D01E80">
        <w:rPr>
          <w:rFonts w:ascii="Arial" w:hAnsi="Arial"/>
          <w:sz w:val="22"/>
          <w:szCs w:val="22"/>
          <w:lang w:val="en-GB"/>
        </w:rPr>
        <w:instrText>FORMTEXT</w:instrText>
      </w:r>
      <w:r w:rsidRPr="00C70FE7">
        <w:rPr>
          <w:rFonts w:ascii="Arial" w:hAnsi="Arial"/>
          <w:sz w:val="22"/>
          <w:szCs w:val="22"/>
          <w:lang w:val="en-GB"/>
        </w:rPr>
        <w:instrText xml:space="preserve"> </w:instrText>
      </w:r>
      <w:r w:rsidRPr="00C70FE7">
        <w:rPr>
          <w:rFonts w:ascii="Arial" w:hAnsi="Arial"/>
          <w:sz w:val="22"/>
          <w:szCs w:val="22"/>
          <w:lang w:val="en-GB"/>
        </w:rPr>
      </w:r>
      <w:r w:rsidRPr="00C70FE7">
        <w:rPr>
          <w:rFonts w:ascii="Arial" w:hAnsi="Arial"/>
          <w:sz w:val="22"/>
          <w:szCs w:val="22"/>
          <w:lang w:val="en-GB"/>
        </w:rPr>
        <w:fldChar w:fldCharType="separate"/>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Pr="00C70FE7">
        <w:rPr>
          <w:rFonts w:ascii="Arial" w:hAnsi="Arial"/>
          <w:sz w:val="22"/>
          <w:szCs w:val="22"/>
          <w:lang w:val="en-GB"/>
        </w:rPr>
        <w:fldChar w:fldCharType="end"/>
      </w:r>
      <w:r>
        <w:rPr>
          <w:rFonts w:ascii="Arial" w:hAnsi="Arial"/>
          <w:sz w:val="22"/>
          <w:szCs w:val="22"/>
          <w:lang w:val="en-GB"/>
        </w:rPr>
        <w:tab/>
        <w:t>Pre-Supplier</w:t>
      </w:r>
      <w:r w:rsidRPr="00C70FE7">
        <w:rPr>
          <w:rFonts w:ascii="Arial" w:hAnsi="Arial"/>
          <w:sz w:val="22"/>
          <w:szCs w:val="22"/>
          <w:lang w:val="en-GB"/>
        </w:rPr>
        <w:t>:</w:t>
      </w:r>
    </w:p>
    <w:p w:rsidR="00C63881" w:rsidRDefault="00C63881" w:rsidP="00C63881">
      <w:pPr>
        <w:tabs>
          <w:tab w:val="left" w:pos="851"/>
        </w:tabs>
        <w:ind w:left="5245" w:hanging="5245"/>
        <w:rPr>
          <w:rFonts w:ascii="Arial" w:hAnsi="Arial"/>
          <w:sz w:val="22"/>
          <w:szCs w:val="22"/>
          <w:lang w:val="en-GB"/>
        </w:rPr>
      </w:pPr>
    </w:p>
    <w:p w:rsidR="00C63881" w:rsidRPr="00C70FE7" w:rsidRDefault="00C63881" w:rsidP="00C63881">
      <w:pPr>
        <w:tabs>
          <w:tab w:val="left" w:pos="851"/>
        </w:tabs>
        <w:ind w:left="5245" w:hanging="5245"/>
        <w:rPr>
          <w:rFonts w:ascii="Arial" w:hAnsi="Arial"/>
          <w:sz w:val="22"/>
          <w:szCs w:val="22"/>
          <w:lang w:val="en-GB"/>
        </w:rPr>
      </w:pPr>
      <w:r w:rsidRPr="00C70FE7">
        <w:rPr>
          <w:rFonts w:ascii="Arial" w:hAnsi="Arial"/>
          <w:sz w:val="22"/>
          <w:szCs w:val="22"/>
          <w:lang w:val="en-GB"/>
        </w:rPr>
        <w:t>Date:</w:t>
      </w:r>
      <w:r w:rsidRPr="00C70FE7">
        <w:rPr>
          <w:rFonts w:ascii="Arial" w:hAnsi="Arial"/>
          <w:sz w:val="22"/>
          <w:szCs w:val="22"/>
          <w:lang w:val="en-GB"/>
        </w:rPr>
        <w:tab/>
      </w:r>
      <w:r w:rsidRPr="00C70FE7">
        <w:rPr>
          <w:rFonts w:ascii="Arial" w:hAnsi="Arial"/>
          <w:sz w:val="22"/>
          <w:szCs w:val="22"/>
          <w:lang w:val="en-GB"/>
        </w:rPr>
        <w:fldChar w:fldCharType="begin">
          <w:ffData>
            <w:name w:val="Text2"/>
            <w:enabled/>
            <w:calcOnExit w:val="0"/>
            <w:textInput>
              <w:maxLength w:val="15"/>
            </w:textInput>
          </w:ffData>
        </w:fldChar>
      </w:r>
      <w:r w:rsidRPr="00C70FE7">
        <w:rPr>
          <w:rFonts w:ascii="Arial" w:hAnsi="Arial"/>
          <w:sz w:val="22"/>
          <w:szCs w:val="22"/>
          <w:lang w:val="en-GB"/>
        </w:rPr>
        <w:instrText xml:space="preserve"> </w:instrText>
      </w:r>
      <w:r w:rsidR="00D01E80">
        <w:rPr>
          <w:rFonts w:ascii="Arial" w:hAnsi="Arial"/>
          <w:sz w:val="22"/>
          <w:szCs w:val="22"/>
          <w:lang w:val="en-GB"/>
        </w:rPr>
        <w:instrText>FORMTEXT</w:instrText>
      </w:r>
      <w:r w:rsidRPr="00C70FE7">
        <w:rPr>
          <w:rFonts w:ascii="Arial" w:hAnsi="Arial"/>
          <w:sz w:val="22"/>
          <w:szCs w:val="22"/>
          <w:lang w:val="en-GB"/>
        </w:rPr>
        <w:instrText xml:space="preserve"> </w:instrText>
      </w:r>
      <w:r w:rsidRPr="00C70FE7">
        <w:rPr>
          <w:rFonts w:ascii="Arial" w:hAnsi="Arial"/>
          <w:sz w:val="22"/>
          <w:szCs w:val="22"/>
          <w:lang w:val="en-GB"/>
        </w:rPr>
      </w:r>
      <w:r w:rsidRPr="00C70FE7">
        <w:rPr>
          <w:rFonts w:ascii="Arial" w:hAnsi="Arial"/>
          <w:sz w:val="22"/>
          <w:szCs w:val="22"/>
          <w:lang w:val="en-GB"/>
        </w:rPr>
        <w:fldChar w:fldCharType="separate"/>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00545795">
        <w:rPr>
          <w:rFonts w:ascii="Arial" w:hAnsi="Arial"/>
          <w:noProof/>
          <w:sz w:val="22"/>
          <w:szCs w:val="22"/>
          <w:lang w:val="en-GB"/>
        </w:rPr>
        <w:t> </w:t>
      </w:r>
      <w:r w:rsidRPr="00C70FE7">
        <w:rPr>
          <w:rFonts w:ascii="Arial" w:hAnsi="Arial"/>
          <w:sz w:val="22"/>
          <w:szCs w:val="22"/>
          <w:lang w:val="en-GB"/>
        </w:rPr>
        <w:fldChar w:fldCharType="end"/>
      </w:r>
      <w:r w:rsidRPr="00C70FE7">
        <w:rPr>
          <w:rFonts w:ascii="Arial" w:hAnsi="Arial"/>
          <w:sz w:val="22"/>
          <w:szCs w:val="22"/>
          <w:lang w:val="en-GB"/>
        </w:rPr>
        <w:tab/>
        <w:t xml:space="preserve">(Legally binding signature </w:t>
      </w:r>
    </w:p>
    <w:p w:rsidR="00C63881" w:rsidRPr="00C70FE7" w:rsidRDefault="00C63881" w:rsidP="00C63881">
      <w:pPr>
        <w:tabs>
          <w:tab w:val="left" w:pos="851"/>
        </w:tabs>
        <w:ind w:left="5245" w:hanging="5245"/>
        <w:rPr>
          <w:lang w:val="en-GB"/>
        </w:rPr>
      </w:pPr>
      <w:r w:rsidRPr="00C70FE7">
        <w:rPr>
          <w:rFonts w:ascii="Arial" w:hAnsi="Arial"/>
          <w:sz w:val="22"/>
          <w:szCs w:val="22"/>
          <w:lang w:val="en-GB"/>
        </w:rPr>
        <w:tab/>
      </w:r>
      <w:r w:rsidRPr="00C70FE7">
        <w:rPr>
          <w:rFonts w:ascii="Arial" w:hAnsi="Arial"/>
          <w:sz w:val="22"/>
          <w:szCs w:val="22"/>
          <w:lang w:val="en-GB"/>
        </w:rPr>
        <w:tab/>
        <w:t xml:space="preserve"> and company stamp)</w:t>
      </w:r>
    </w:p>
    <w:sectPr w:rsidR="00C63881" w:rsidRPr="00C70FE7" w:rsidSect="00C63881">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62F8" w:rsidRDefault="00D362F8">
      <w:r>
        <w:separator/>
      </w:r>
    </w:p>
  </w:endnote>
  <w:endnote w:type="continuationSeparator" w:id="0">
    <w:p w:rsidR="00D362F8" w:rsidRDefault="00D36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7C1" w:rsidRDefault="00CD27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881" w:rsidRPr="00D01E80" w:rsidRDefault="00C63881">
    <w:pPr>
      <w:pStyle w:val="Fuzeile"/>
      <w:rPr>
        <w:lang w:val="en-US"/>
      </w:rPr>
    </w:pPr>
    <w:r w:rsidRPr="00D01E80">
      <w:rPr>
        <w:rFonts w:ascii="Arial" w:hAnsi="Arial"/>
        <w:sz w:val="22"/>
        <w:lang w:val="en-US"/>
      </w:rPr>
      <w:t>Annex 2 to the Contract</w:t>
    </w:r>
    <w:r w:rsidRPr="00D01E80">
      <w:rPr>
        <w:rFonts w:ascii="Arial" w:hAnsi="Arial"/>
        <w:sz w:val="22"/>
        <w:lang w:val="en-US"/>
      </w:rPr>
      <w:tab/>
    </w:r>
    <w:r>
      <w:rPr>
        <w:rStyle w:val="Seitenzahl"/>
        <w:rFonts w:ascii="Arial" w:hAnsi="Arial"/>
        <w:sz w:val="22"/>
      </w:rPr>
      <w:fldChar w:fldCharType="begin"/>
    </w:r>
    <w:r w:rsidRPr="00D01E80">
      <w:rPr>
        <w:rStyle w:val="Seitenzahl"/>
        <w:rFonts w:ascii="Arial" w:hAnsi="Arial"/>
        <w:sz w:val="22"/>
        <w:lang w:val="en-US"/>
      </w:rPr>
      <w:instrText xml:space="preserve"> </w:instrText>
    </w:r>
    <w:r w:rsidR="00D01E80" w:rsidRPr="00D01E80">
      <w:rPr>
        <w:rStyle w:val="Seitenzahl"/>
        <w:rFonts w:ascii="Arial" w:hAnsi="Arial"/>
        <w:sz w:val="22"/>
        <w:lang w:val="en-US"/>
      </w:rPr>
      <w:instrText>PAGE</w:instrText>
    </w:r>
    <w:r w:rsidRPr="00D01E80">
      <w:rPr>
        <w:rStyle w:val="Seitenzahl"/>
        <w:rFonts w:ascii="Arial" w:hAnsi="Arial"/>
        <w:sz w:val="22"/>
        <w:lang w:val="en-US"/>
      </w:rPr>
      <w:instrText xml:space="preserve"> </w:instrText>
    </w:r>
    <w:r>
      <w:rPr>
        <w:rStyle w:val="Seitenzahl"/>
        <w:rFonts w:ascii="Arial" w:hAnsi="Arial"/>
        <w:sz w:val="22"/>
      </w:rPr>
      <w:fldChar w:fldCharType="separate"/>
    </w:r>
    <w:r w:rsidR="0044241F">
      <w:rPr>
        <w:rStyle w:val="Seitenzahl"/>
        <w:rFonts w:ascii="Arial" w:hAnsi="Arial"/>
        <w:noProof/>
        <w:sz w:val="22"/>
        <w:lang w:val="en-US"/>
      </w:rPr>
      <w:t>1</w:t>
    </w:r>
    <w:r>
      <w:rPr>
        <w:rStyle w:val="Seitenzahl"/>
        <w:rFonts w:ascii="Arial" w:hAnsi="Arial"/>
        <w:sz w:val="22"/>
      </w:rPr>
      <w:fldChar w:fldCharType="end"/>
    </w:r>
    <w:r w:rsidRPr="00D01E80">
      <w:rPr>
        <w:rFonts w:ascii="Arial" w:hAnsi="Arial"/>
        <w:sz w:val="22"/>
        <w:lang w:val="en-US"/>
      </w:rPr>
      <w:t>/</w:t>
    </w:r>
    <w:r w:rsidR="006B3C9B">
      <w:rPr>
        <w:rFonts w:ascii="Arial" w:hAnsi="Arial"/>
        <w:sz w:val="22"/>
        <w:lang w:val="en-US"/>
      </w:rPr>
      <w:t>2</w:t>
    </w:r>
    <w:r w:rsidRPr="00D01E80">
      <w:rPr>
        <w:rFonts w:ascii="Arial" w:hAnsi="Arial"/>
        <w:sz w:val="22"/>
        <w:lang w:val="en-US"/>
      </w:rPr>
      <w:tab/>
    </w:r>
    <w:r w:rsidR="00365F54">
      <w:rPr>
        <w:rFonts w:ascii="Arial" w:hAnsi="Arial"/>
        <w:sz w:val="22"/>
        <w:lang w:val="en-US"/>
      </w:rPr>
      <w:t>DE-</w:t>
    </w:r>
    <w:r w:rsidRPr="00D01E80">
      <w:rPr>
        <w:rFonts w:ascii="Arial" w:hAnsi="Arial"/>
        <w:sz w:val="22"/>
        <w:lang w:val="en-US"/>
      </w:rPr>
      <w:t xml:space="preserve">UZ 156 </w:t>
    </w:r>
    <w:r w:rsidR="00CD27C1">
      <w:rPr>
        <w:rFonts w:ascii="Arial" w:hAnsi="Arial"/>
        <w:sz w:val="22"/>
        <w:lang w:val="en-US"/>
      </w:rPr>
      <w:t>January</w:t>
    </w:r>
    <w:r w:rsidRPr="00D01E80">
      <w:rPr>
        <w:rFonts w:ascii="Arial" w:hAnsi="Arial"/>
        <w:sz w:val="22"/>
        <w:lang w:val="en-US"/>
      </w:rPr>
      <w:t xml:space="preserve"> 201</w:t>
    </w:r>
    <w:r w:rsidR="006B3C9B">
      <w:rPr>
        <w:rFonts w:ascii="Arial" w:hAnsi="Arial"/>
        <w:sz w:val="22"/>
        <w:lang w:val="en-US"/>
      </w:rPr>
      <w:t>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7C1" w:rsidRDefault="00CD27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62F8" w:rsidRDefault="00D362F8">
      <w:r>
        <w:separator/>
      </w:r>
    </w:p>
  </w:footnote>
  <w:footnote w:type="continuationSeparator" w:id="0">
    <w:p w:rsidR="00D362F8" w:rsidRDefault="00D362F8">
      <w:r>
        <w:continuationSeparator/>
      </w:r>
    </w:p>
  </w:footnote>
  <w:footnote w:id="1">
    <w:p w:rsidR="006B3C9B" w:rsidRPr="00CD16CD" w:rsidRDefault="006B3C9B" w:rsidP="006B3C9B">
      <w:pPr>
        <w:pStyle w:val="Fuzeile1"/>
        <w:rPr>
          <w:lang w:val="en-US"/>
        </w:rPr>
      </w:pPr>
      <w:r>
        <w:rPr>
          <w:rStyle w:val="Funotenzeichen"/>
        </w:rPr>
        <w:footnoteRef/>
      </w:r>
      <w:r w:rsidRPr="00CD16CD">
        <w:rPr>
          <w:lang w:val="en-US"/>
        </w:rPr>
        <w:t xml:space="preserve">  </w:t>
      </w:r>
      <w:r w:rsidRPr="000E5F9D">
        <w:rPr>
          <w:lang w:val="en-GB"/>
        </w:rPr>
        <w:t>Constituents are substances or preparations added to the product or intermediate in order to achieve or</w:t>
      </w:r>
      <w:r>
        <w:rPr>
          <w:lang w:val="en-GB"/>
        </w:rPr>
        <w:t xml:space="preserve"> </w:t>
      </w:r>
      <w:r w:rsidRPr="000E5F9D">
        <w:rPr>
          <w:lang w:val="en-GB"/>
        </w:rPr>
        <w:t>influence certain product properties as well as those required as chemical decomposition products to achieve the product properties. This does not include, for example, minimised residual monomers.</w:t>
      </w:r>
    </w:p>
  </w:footnote>
  <w:footnote w:id="2">
    <w:p w:rsidR="006B3C9B" w:rsidRPr="00E13637" w:rsidRDefault="006B3C9B" w:rsidP="006B3C9B">
      <w:pPr>
        <w:pStyle w:val="Funotentext"/>
        <w:ind w:left="142" w:hanging="142"/>
        <w:rPr>
          <w:sz w:val="18"/>
          <w:szCs w:val="18"/>
          <w:lang w:val="en-GB"/>
        </w:rPr>
      </w:pPr>
      <w:r w:rsidRPr="000E5F9D">
        <w:rPr>
          <w:rStyle w:val="Funotenzeichen"/>
          <w:lang w:val="en-GB"/>
        </w:rPr>
        <w:footnoteRef/>
      </w:r>
      <w:r w:rsidRPr="000E5F9D">
        <w:rPr>
          <w:lang w:val="en-GB"/>
        </w:rPr>
        <w:t xml:space="preserve">  </w:t>
      </w:r>
      <w:r w:rsidRPr="00E13637">
        <w:rPr>
          <w:sz w:val="18"/>
          <w:szCs w:val="18"/>
          <w:lang w:val="en-GB"/>
        </w:rPr>
        <w:t>The Candidate List as amended at the time of filing the application shall be applicable. For the Candidate List, as amended, please go to:</w:t>
      </w:r>
    </w:p>
    <w:p w:rsidR="006B3C9B" w:rsidRPr="000E5F9D" w:rsidRDefault="006B3C9B" w:rsidP="006B3C9B">
      <w:pPr>
        <w:pStyle w:val="Funotentext"/>
        <w:rPr>
          <w:lang w:val="en-GB"/>
        </w:rPr>
      </w:pPr>
      <w:r w:rsidRPr="00E13637">
        <w:rPr>
          <w:sz w:val="18"/>
          <w:szCs w:val="18"/>
          <w:lang w:val="en-GB"/>
        </w:rPr>
        <w:t xml:space="preserve">    </w:t>
      </w:r>
      <w:hyperlink r:id="rId1" w:history="1">
        <w:r w:rsidRPr="00E13637">
          <w:rPr>
            <w:rStyle w:val="Hyperlink"/>
            <w:sz w:val="18"/>
            <w:szCs w:val="18"/>
            <w:lang w:val="en-GB"/>
          </w:rPr>
          <w:t>http://echa.europa.eu/chem_data/authorisation_process/candidate_list_table_en.asp</w:t>
        </w:r>
      </w:hyperlink>
      <w:r w:rsidRPr="000E5F9D">
        <w:rPr>
          <w:lang w:val="en-GB"/>
        </w:rPr>
        <w:t>.</w:t>
      </w:r>
    </w:p>
  </w:footnote>
  <w:footnote w:id="3">
    <w:p w:rsidR="006B3C9B" w:rsidRDefault="006B3C9B" w:rsidP="006B3C9B">
      <w:pPr>
        <w:pStyle w:val="Funotentext"/>
        <w:ind w:left="142" w:hanging="142"/>
        <w:rPr>
          <w:sz w:val="18"/>
          <w:szCs w:val="18"/>
          <w:lang w:val="en-GB"/>
        </w:rPr>
      </w:pPr>
      <w:r w:rsidRPr="000E5F9D">
        <w:rPr>
          <w:rStyle w:val="Funotenzeichen"/>
          <w:lang w:val="en-GB"/>
        </w:rPr>
        <w:footnoteRef/>
      </w:r>
      <w:r w:rsidRPr="000E5F9D">
        <w:rPr>
          <w:rStyle w:val="Funotenzeichen"/>
          <w:lang w:val="en-GB"/>
        </w:rPr>
        <w:t xml:space="preserve"> </w:t>
      </w:r>
      <w:r w:rsidRPr="000E5F9D">
        <w:rPr>
          <w:lang w:val="en-GB"/>
        </w:rPr>
        <w:t xml:space="preserve"> </w:t>
      </w:r>
      <w:r w:rsidRPr="0058556E">
        <w:rPr>
          <w:sz w:val="18"/>
          <w:szCs w:val="18"/>
          <w:lang w:val="en-GB"/>
        </w:rPr>
        <w:t>Regulation (EC) No 1272/2008 on classification, labelling and packaging of substances and mixtures (</w:t>
      </w:r>
      <w:r>
        <w:rPr>
          <w:sz w:val="18"/>
          <w:szCs w:val="18"/>
          <w:lang w:val="en-GB"/>
        </w:rPr>
        <w:t xml:space="preserve">or </w:t>
      </w:r>
      <w:r w:rsidRPr="0058556E">
        <w:rPr>
          <w:sz w:val="18"/>
          <w:szCs w:val="18"/>
          <w:lang w:val="en-GB"/>
        </w:rPr>
        <w:t xml:space="preserve">CLP for short). </w:t>
      </w:r>
    </w:p>
    <w:p w:rsidR="006B3C9B" w:rsidRPr="0058556E" w:rsidRDefault="006B3C9B" w:rsidP="006B3C9B">
      <w:pPr>
        <w:pStyle w:val="Funotentext"/>
        <w:ind w:left="142" w:hanging="142"/>
        <w:rPr>
          <w:sz w:val="18"/>
          <w:szCs w:val="18"/>
          <w:lang w:val="en-GB"/>
        </w:rPr>
      </w:pPr>
    </w:p>
  </w:footnote>
  <w:footnote w:id="4">
    <w:p w:rsidR="006B3C9B" w:rsidRPr="00CD16CD" w:rsidRDefault="006B3C9B" w:rsidP="006B3C9B">
      <w:pPr>
        <w:pStyle w:val="Fuzeile1"/>
        <w:ind w:left="142" w:hanging="142"/>
        <w:rPr>
          <w:lang w:val="en-US"/>
        </w:rPr>
      </w:pPr>
      <w:r>
        <w:rPr>
          <w:rStyle w:val="Funotenzeichen"/>
        </w:rPr>
        <w:footnoteRef/>
      </w:r>
      <w:r w:rsidRPr="00CD16CD">
        <w:rPr>
          <w:lang w:val="en-US"/>
        </w:rPr>
        <w:t xml:space="preserve"> </w:t>
      </w:r>
      <w:r w:rsidRPr="000E5F9D">
        <w:rPr>
          <w:lang w:val="en-GB"/>
        </w:rPr>
        <w:t>TRGS 905 List of carcinogenic, mutagenic or</w:t>
      </w:r>
      <w:r>
        <w:rPr>
          <w:lang w:val="en-GB"/>
        </w:rPr>
        <w:t xml:space="preserve"> reprotoxic substances, as </w:t>
      </w:r>
      <w:r w:rsidRPr="000E5F9D">
        <w:rPr>
          <w:lang w:val="en-GB"/>
        </w:rPr>
        <w:t>amended in May 2018</w:t>
      </w:r>
      <w:r>
        <w:rPr>
          <w:lang w:val="en-GB"/>
        </w:rPr>
        <w:t xml:space="preserve"> and as</w:t>
      </w:r>
      <w:r w:rsidRPr="000E5F9D">
        <w:rPr>
          <w:lang w:val="en-GB"/>
        </w:rPr>
        <w:t xml:space="preserve"> amended</w:t>
      </w:r>
      <w:r>
        <w:rPr>
          <w:lang w:val="en-GB"/>
        </w:rPr>
        <w:t xml:space="preserve"> from time to time</w:t>
      </w:r>
      <w:r w:rsidRPr="00CD16CD">
        <w:rPr>
          <w:lang w:val="en-US"/>
        </w:rPr>
        <w:t>.</w:t>
      </w:r>
    </w:p>
    <w:p w:rsidR="006B3C9B" w:rsidRPr="00CD16CD" w:rsidRDefault="006B3C9B" w:rsidP="006B3C9B">
      <w:pPr>
        <w:pStyle w:val="Fuzeile1"/>
        <w:ind w:left="142" w:hanging="142"/>
        <w:rPr>
          <w:lang w:val="en-US"/>
        </w:rPr>
      </w:pPr>
    </w:p>
  </w:footnote>
  <w:footnote w:id="5">
    <w:p w:rsidR="006B3C9B" w:rsidRPr="00CD16CD" w:rsidRDefault="006B3C9B" w:rsidP="006B3C9B">
      <w:pPr>
        <w:pStyle w:val="Fuzeile1"/>
        <w:ind w:left="142" w:hanging="142"/>
        <w:rPr>
          <w:lang w:val="en-US"/>
        </w:rPr>
      </w:pPr>
      <w:r>
        <w:rPr>
          <w:rStyle w:val="Funotenzeichen"/>
        </w:rPr>
        <w:footnoteRef/>
      </w:r>
      <w:r w:rsidRPr="00CD16CD">
        <w:rPr>
          <w:lang w:val="en-US"/>
        </w:rPr>
        <w:t xml:space="preserve"> </w:t>
      </w:r>
      <w:r w:rsidRPr="000E5F9D">
        <w:rPr>
          <w:lang w:val="en-GB"/>
        </w:rPr>
        <w:t xml:space="preserve">MAK and BAT Values List, </w:t>
      </w:r>
      <w:r w:rsidRPr="000E5F9D">
        <w:rPr>
          <w:bCs/>
          <w:lang w:val="en-GB"/>
        </w:rPr>
        <w:t xml:space="preserve">Permanent Senate Commission for the Investigation of Health Hazards of Chemical Compounds in the Work Area, </w:t>
      </w:r>
      <w:r>
        <w:rPr>
          <w:lang w:val="en-GB"/>
        </w:rPr>
        <w:t xml:space="preserve">as </w:t>
      </w:r>
      <w:r w:rsidRPr="000E5F9D">
        <w:rPr>
          <w:lang w:val="en-GB"/>
        </w:rPr>
        <w:t>am</w:t>
      </w:r>
      <w:r>
        <w:rPr>
          <w:lang w:val="en-GB"/>
        </w:rPr>
        <w:t>ended by Report No 53 (2017) and</w:t>
      </w:r>
      <w:r w:rsidRPr="000E5F9D">
        <w:rPr>
          <w:lang w:val="en-GB"/>
        </w:rPr>
        <w:t xml:space="preserve"> as amended</w:t>
      </w:r>
      <w:r>
        <w:rPr>
          <w:lang w:val="en-GB"/>
        </w:rPr>
        <w:t xml:space="preserve"> from time to time</w:t>
      </w:r>
      <w:r w:rsidRPr="00CD16CD">
        <w:rPr>
          <w:lang w:val="en-US"/>
        </w:rPr>
        <w:t>.</w:t>
      </w:r>
    </w:p>
    <w:p w:rsidR="006B3C9B" w:rsidRPr="00CD16CD" w:rsidRDefault="006B3C9B" w:rsidP="006B3C9B">
      <w:pPr>
        <w:pStyle w:val="Fuzeile1"/>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7C1" w:rsidRDefault="00CD27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881" w:rsidRDefault="0044241F" w:rsidP="00C63881">
    <w:pPr>
      <w:pStyle w:val="Kopfzeile"/>
      <w:jc w:val="right"/>
    </w:pPr>
    <w:r>
      <w:rPr>
        <w:noProof/>
      </w:rPr>
      <w:drawing>
        <wp:inline distT="0" distB="0" distL="0" distR="0">
          <wp:extent cx="762000" cy="53340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7C1" w:rsidRDefault="00CD27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3F39F1"/>
    <w:multiLevelType w:val="hybridMultilevel"/>
    <w:tmpl w:val="DB3C3262"/>
    <w:lvl w:ilvl="0" w:tplc="6D50F6AC">
      <w:start w:val="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3F781C"/>
    <w:multiLevelType w:val="hybridMultilevel"/>
    <w:tmpl w:val="93186C3C"/>
    <w:lvl w:ilvl="0" w:tplc="355A1E7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Symbol"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Symbol"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Symbol"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2FF931E1"/>
    <w:multiLevelType w:val="hybridMultilevel"/>
    <w:tmpl w:val="487AE9BA"/>
    <w:lvl w:ilvl="0" w:tplc="4CCA3458">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FF84B68"/>
    <w:multiLevelType w:val="hybridMultilevel"/>
    <w:tmpl w:val="5CEC4546"/>
    <w:lvl w:ilvl="0" w:tplc="5CA6A40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8"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Symbol"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Symbol"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Symbol"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Symbol"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Courier New" w:hint="default"/>
      </w:rPr>
    </w:lvl>
    <w:lvl w:ilvl="1" w:tplc="04070003" w:tentative="1">
      <w:start w:val="1"/>
      <w:numFmt w:val="bullet"/>
      <w:lvlText w:val="o"/>
      <w:lvlJc w:val="left"/>
      <w:pPr>
        <w:tabs>
          <w:tab w:val="num" w:pos="1365"/>
        </w:tabs>
        <w:ind w:left="1365" w:hanging="360"/>
      </w:pPr>
      <w:rPr>
        <w:rFonts w:ascii="Courier New" w:hAnsi="Courier New" w:cs="Symbol"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Symbol"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Symbol"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2"/>
  </w:num>
  <w:num w:numId="2">
    <w:abstractNumId w:val="10"/>
  </w:num>
  <w:num w:numId="3">
    <w:abstractNumId w:val="9"/>
  </w:num>
  <w:num w:numId="4">
    <w:abstractNumId w:val="11"/>
  </w:num>
  <w:num w:numId="5">
    <w:abstractNumId w:val="6"/>
  </w:num>
  <w:num w:numId="6">
    <w:abstractNumId w:val="7"/>
  </w:num>
  <w:num w:numId="7">
    <w:abstractNumId w:val="8"/>
  </w:num>
  <w:num w:numId="8">
    <w:abstractNumId w:val="5"/>
  </w:num>
  <w:num w:numId="9">
    <w:abstractNumId w:val="8"/>
  </w:num>
  <w:num w:numId="10">
    <w:abstractNumId w:val="0"/>
  </w:num>
  <w:num w:numId="11">
    <w:abstractNumId w:val="8"/>
  </w:num>
  <w:num w:numId="12">
    <w:abstractNumId w:val="4"/>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m7UqCkOpdjPu79p5zd5czelrpiLGS4NHdhQQsHP7uomr8u3msJNLEzAl9hDX4GNanxqhAZyNy+cFuofW4robg==" w:salt="qVECjm2MhabEraDWeKEfn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365F54"/>
    <w:rsid w:val="0044241F"/>
    <w:rsid w:val="004F11EE"/>
    <w:rsid w:val="00545795"/>
    <w:rsid w:val="006B3C9B"/>
    <w:rsid w:val="00A5020B"/>
    <w:rsid w:val="00A765C6"/>
    <w:rsid w:val="00C63881"/>
    <w:rsid w:val="00CB3A7D"/>
    <w:rsid w:val="00CD27C1"/>
    <w:rsid w:val="00D01E80"/>
    <w:rsid w:val="00D362F8"/>
    <w:rsid w:val="00D41A9A"/>
    <w:rsid w:val="00F063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42856F8"/>
  <w15:docId w15:val="{7433A6BD-2F69-48BA-853D-D3122811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uiPriority w:val="99"/>
    <w:qFormat/>
    <w:rsid w:val="009B4CE7"/>
  </w:style>
  <w:style w:type="character" w:styleId="Funotenzeichen">
    <w:name w:val="footnote reference"/>
    <w:qFormat/>
    <w:rsid w:val="009B4CE7"/>
    <w:rPr>
      <w:vertAlign w:val="superscript"/>
    </w:rPr>
  </w:style>
  <w:style w:type="character" w:styleId="Hyperlink">
    <w:name w:val="Hyperlink"/>
    <w:uiPriority w:val="99"/>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HTMLVorformatiert">
    <w:name w:val="HTML Preformatted"/>
    <w:basedOn w:val="Standard"/>
    <w:link w:val="HTMLVorformatiertZchn"/>
    <w:uiPriority w:val="99"/>
    <w:semiHidden/>
    <w:unhideWhenUsed/>
    <w:rsid w:val="00CB3A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VorformatiertZchn">
    <w:name w:val="HTML Vorformatiert Zchn"/>
    <w:link w:val="HTMLVorformatiert"/>
    <w:uiPriority w:val="99"/>
    <w:semiHidden/>
    <w:rsid w:val="00CB3A7D"/>
    <w:rPr>
      <w:rFonts w:ascii="Courier New" w:hAnsi="Courier New" w:cs="Courier New"/>
    </w:rPr>
  </w:style>
  <w:style w:type="character" w:customStyle="1" w:styleId="FunotentextZchn">
    <w:name w:val="Fußnotentext Zchn"/>
    <w:link w:val="Funotentext"/>
    <w:uiPriority w:val="99"/>
    <w:rsid w:val="00CB3A7D"/>
  </w:style>
  <w:style w:type="paragraph" w:customStyle="1" w:styleId="Aufzhlung">
    <w:name w:val="Aufzählung"/>
    <w:basedOn w:val="Listenabsatz"/>
    <w:qFormat/>
    <w:rsid w:val="006B3C9B"/>
    <w:pPr>
      <w:numPr>
        <w:numId w:val="14"/>
      </w:numPr>
      <w:tabs>
        <w:tab w:val="num" w:pos="1004"/>
      </w:tabs>
      <w:ind w:left="1004"/>
      <w:contextualSpacing/>
    </w:pPr>
    <w:rPr>
      <w:rFonts w:ascii="Arial" w:hAnsi="Arial"/>
      <w:sz w:val="22"/>
      <w:szCs w:val="22"/>
    </w:rPr>
  </w:style>
  <w:style w:type="paragraph" w:customStyle="1" w:styleId="Fuzeile1">
    <w:name w:val="Fußzeile1"/>
    <w:basedOn w:val="Fuzeile"/>
    <w:link w:val="Fuzeile1Zchn"/>
    <w:qFormat/>
    <w:rsid w:val="006B3C9B"/>
    <w:pPr>
      <w:ind w:left="170" w:hanging="170"/>
      <w:contextualSpacing/>
    </w:pPr>
    <w:rPr>
      <w:rFonts w:ascii="Arial" w:hAnsi="Arial"/>
      <w:sz w:val="18"/>
      <w:szCs w:val="22"/>
    </w:rPr>
  </w:style>
  <w:style w:type="character" w:customStyle="1" w:styleId="Fuzeile1Zchn">
    <w:name w:val="Fußzeile1 Zchn"/>
    <w:link w:val="Fuzeile1"/>
    <w:rsid w:val="006B3C9B"/>
    <w:rPr>
      <w:rFonts w:ascii="Arial" w:hAnsi="Arial"/>
      <w:sz w:val="18"/>
      <w:szCs w:val="22"/>
    </w:rPr>
  </w:style>
  <w:style w:type="character" w:customStyle="1" w:styleId="Tiefgestellt">
    <w:name w:val="Tiefgestellt"/>
    <w:rsid w:val="006B3C9B"/>
    <w:rPr>
      <w:vertAlign w:val="subscript"/>
    </w:rPr>
  </w:style>
  <w:style w:type="paragraph" w:styleId="Listenabsatz">
    <w:name w:val="List Paragraph"/>
    <w:basedOn w:val="Standard"/>
    <w:uiPriority w:val="34"/>
    <w:qFormat/>
    <w:rsid w:val="006B3C9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4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cha.europa.eu/chem_data/authorisation_process/candidate_list_table_en.a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2479</CharactersWithSpaces>
  <SharedDoc>false</SharedDoc>
  <HLinks>
    <vt:vector size="6" baseType="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2</cp:revision>
  <cp:lastPrinted>2011-08-01T08:03:00Z</cp:lastPrinted>
  <dcterms:created xsi:type="dcterms:W3CDTF">2021-03-12T09:26:00Z</dcterms:created>
  <dcterms:modified xsi:type="dcterms:W3CDTF">2021-03-12T09:26:00Z</dcterms:modified>
</cp:coreProperties>
</file>