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236"/>
        <w:tblOverlap w:val="never"/>
        <w:tblW w:w="10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283"/>
        <w:gridCol w:w="2835"/>
      </w:tblGrid>
      <w:tr w:rsidR="00024631" w:rsidRPr="00311CF7" w:rsidTr="00024631">
        <w:tc>
          <w:tcPr>
            <w:tcW w:w="7083" w:type="dxa"/>
            <w:shd w:val="clear" w:color="auto" w:fill="auto"/>
          </w:tcPr>
          <w:p w:rsidR="002965CC" w:rsidRPr="002965CC" w:rsidRDefault="002965CC" w:rsidP="002965CC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  <w:r w:rsidRPr="002965CC">
              <w:rPr>
                <w:b/>
              </w:rPr>
              <w:t xml:space="preserve">Annex 19 </w:t>
            </w:r>
            <w:proofErr w:type="spellStart"/>
            <w:r w:rsidRPr="002965CC">
              <w:rPr>
                <w:b/>
              </w:rPr>
              <w:t>to</w:t>
            </w:r>
            <w:proofErr w:type="spellEnd"/>
            <w:r w:rsidRPr="002965CC">
              <w:rPr>
                <w:b/>
              </w:rPr>
              <w:t xml:space="preserve"> </w:t>
            </w:r>
            <w:proofErr w:type="spellStart"/>
            <w:r w:rsidRPr="002965CC">
              <w:rPr>
                <w:b/>
              </w:rPr>
              <w:t>the</w:t>
            </w:r>
            <w:proofErr w:type="spellEnd"/>
            <w:r w:rsidRPr="002965CC">
              <w:rPr>
                <w:b/>
              </w:rPr>
              <w:t xml:space="preserve"> </w:t>
            </w:r>
            <w:proofErr w:type="spellStart"/>
            <w:r w:rsidRPr="002965CC">
              <w:rPr>
                <w:b/>
              </w:rPr>
              <w:t>contract</w:t>
            </w:r>
            <w:proofErr w:type="spellEnd"/>
            <w:r w:rsidRPr="002965CC">
              <w:rPr>
                <w:b/>
              </w:rPr>
              <w:t xml:space="preserve"> </w:t>
            </w:r>
            <w:proofErr w:type="spellStart"/>
            <w:r w:rsidRPr="002965CC">
              <w:rPr>
                <w:b/>
              </w:rPr>
              <w:t>according</w:t>
            </w:r>
            <w:proofErr w:type="spellEnd"/>
            <w:r w:rsidRPr="002965CC">
              <w:rPr>
                <w:b/>
              </w:rPr>
              <w:t xml:space="preserve"> </w:t>
            </w:r>
            <w:proofErr w:type="spellStart"/>
            <w:r w:rsidRPr="002965CC">
              <w:rPr>
                <w:b/>
              </w:rPr>
              <w:t>to</w:t>
            </w:r>
            <w:proofErr w:type="spellEnd"/>
            <w:r w:rsidRPr="002965CC">
              <w:rPr>
                <w:b/>
              </w:rPr>
              <w:t xml:space="preserve"> DE-UZ 208</w:t>
            </w:r>
          </w:p>
          <w:p w:rsidR="002965CC" w:rsidRPr="002965CC" w:rsidRDefault="002965CC" w:rsidP="002965CC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  <w:r w:rsidRPr="002965CC">
              <w:rPr>
                <w:b/>
              </w:rPr>
              <w:tab/>
            </w:r>
          </w:p>
          <w:p w:rsidR="00024631" w:rsidRPr="00311CF7" w:rsidRDefault="002965CC" w:rsidP="002965CC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2965CC">
              <w:rPr>
                <w:b/>
              </w:rPr>
              <w:t xml:space="preserve">Eco-label </w:t>
            </w:r>
            <w:proofErr w:type="spellStart"/>
            <w:r w:rsidRPr="002965CC">
              <w:rPr>
                <w:b/>
              </w:rPr>
              <w:t>for</w:t>
            </w:r>
            <w:proofErr w:type="spellEnd"/>
            <w:r w:rsidRPr="002965CC">
              <w:rPr>
                <w:b/>
              </w:rPr>
              <w:t xml:space="preserve"> "</w:t>
            </w:r>
            <w:proofErr w:type="spellStart"/>
            <w:r>
              <w:rPr>
                <w:b/>
              </w:rPr>
              <w:t>Diapers</w:t>
            </w:r>
            <w:proofErr w:type="spellEnd"/>
            <w:r w:rsidRPr="002965CC">
              <w:rPr>
                <w:b/>
              </w:rPr>
              <w:t xml:space="preserve">, feminine </w:t>
            </w:r>
            <w:proofErr w:type="spellStart"/>
            <w:r w:rsidRPr="002965CC">
              <w:rPr>
                <w:b/>
              </w:rPr>
              <w:t>hygiene</w:t>
            </w:r>
            <w:proofErr w:type="spellEnd"/>
            <w:r w:rsidRPr="002965CC">
              <w:rPr>
                <w:b/>
              </w:rPr>
              <w:t xml:space="preserve"> and </w:t>
            </w:r>
            <w:proofErr w:type="spellStart"/>
            <w:r w:rsidRPr="002965CC">
              <w:rPr>
                <w:b/>
              </w:rPr>
              <w:t>incontinence</w:t>
            </w:r>
            <w:proofErr w:type="spellEnd"/>
            <w:r w:rsidRPr="002965CC">
              <w:rPr>
                <w:b/>
              </w:rPr>
              <w:t xml:space="preserve"> </w:t>
            </w:r>
            <w:proofErr w:type="spellStart"/>
            <w:r w:rsidRPr="002965CC">
              <w:rPr>
                <w:b/>
              </w:rPr>
              <w:t>products</w:t>
            </w:r>
            <w:proofErr w:type="spellEnd"/>
            <w:r w:rsidRPr="002965CC">
              <w:rPr>
                <w:b/>
              </w:rPr>
              <w:t xml:space="preserve"> (</w:t>
            </w:r>
            <w:proofErr w:type="spellStart"/>
            <w:r w:rsidRPr="002965CC">
              <w:rPr>
                <w:b/>
              </w:rPr>
              <w:t>absorbent</w:t>
            </w:r>
            <w:proofErr w:type="spellEnd"/>
            <w:r w:rsidRPr="002965CC">
              <w:rPr>
                <w:b/>
              </w:rPr>
              <w:t xml:space="preserve"> </w:t>
            </w:r>
            <w:proofErr w:type="spellStart"/>
            <w:r w:rsidRPr="002965CC">
              <w:rPr>
                <w:b/>
              </w:rPr>
              <w:t>hygiene</w:t>
            </w:r>
            <w:proofErr w:type="spellEnd"/>
            <w:r w:rsidRPr="002965CC">
              <w:rPr>
                <w:b/>
              </w:rPr>
              <w:t xml:space="preserve"> </w:t>
            </w:r>
            <w:proofErr w:type="spellStart"/>
            <w:r w:rsidRPr="002965CC">
              <w:rPr>
                <w:b/>
              </w:rPr>
              <w:t>products</w:t>
            </w:r>
            <w:proofErr w:type="spellEnd"/>
            <w:r w:rsidRPr="002965CC">
              <w:rPr>
                <w:b/>
              </w:rPr>
              <w:t>)".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5CC" w:rsidRDefault="002965CC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Please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use</w:t>
            </w:r>
            <w:proofErr w:type="spellEnd"/>
          </w:p>
          <w:p w:rsidR="00024631" w:rsidRPr="00311CF7" w:rsidRDefault="002965CC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This </w:t>
            </w:r>
            <w:proofErr w:type="gramStart"/>
            <w:r>
              <w:rPr>
                <w:b/>
              </w:rPr>
              <w:t>form</w:t>
            </w:r>
            <w:r w:rsidR="00024631" w:rsidRPr="00311CF7">
              <w:rPr>
                <w:b/>
              </w:rPr>
              <w:t xml:space="preserve"> !</w:t>
            </w:r>
            <w:proofErr w:type="gramEnd"/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345A2C" w:rsidRDefault="00345A2C" w:rsidP="00345A2C">
      <w:pPr>
        <w:jc w:val="center"/>
        <w:rPr>
          <w:b/>
        </w:rPr>
      </w:pPr>
    </w:p>
    <w:p w:rsidR="00345A2C" w:rsidRDefault="00345A2C" w:rsidP="00345A2C">
      <w:pPr>
        <w:jc w:val="center"/>
        <w:rPr>
          <w:b/>
        </w:rPr>
      </w:pPr>
    </w:p>
    <w:p w:rsidR="002965CC" w:rsidRDefault="002965CC" w:rsidP="00345A2C">
      <w:pPr>
        <w:pStyle w:val="Standardklein"/>
      </w:pPr>
    </w:p>
    <w:p w:rsidR="000A4915" w:rsidRDefault="002965CC" w:rsidP="002965CC">
      <w:pPr>
        <w:rPr>
          <w:b/>
        </w:rPr>
      </w:pPr>
      <w:r w:rsidRPr="002965CC">
        <w:rPr>
          <w:b/>
        </w:rPr>
        <w:t xml:space="preserve">Declaration </w:t>
      </w:r>
      <w:proofErr w:type="spellStart"/>
      <w:r w:rsidRPr="002965CC">
        <w:rPr>
          <w:b/>
        </w:rPr>
        <w:t>of</w:t>
      </w:r>
      <w:proofErr w:type="spellEnd"/>
      <w:r w:rsidRPr="002965CC">
        <w:rPr>
          <w:b/>
        </w:rPr>
        <w:t xml:space="preserve"> </w:t>
      </w:r>
      <w:proofErr w:type="spellStart"/>
      <w:r w:rsidRPr="002965CC">
        <w:rPr>
          <w:b/>
        </w:rPr>
        <w:t>the</w:t>
      </w:r>
      <w:proofErr w:type="spellEnd"/>
      <w:r w:rsidRPr="002965CC">
        <w:rPr>
          <w:b/>
        </w:rPr>
        <w:t xml:space="preserve"> </w:t>
      </w:r>
      <w:proofErr w:type="spellStart"/>
      <w:r w:rsidRPr="002965CC">
        <w:rPr>
          <w:b/>
        </w:rPr>
        <w:t>dye</w:t>
      </w:r>
      <w:proofErr w:type="spellEnd"/>
      <w:r w:rsidRPr="002965CC">
        <w:rPr>
          <w:b/>
        </w:rPr>
        <w:t xml:space="preserve"> </w:t>
      </w:r>
      <w:proofErr w:type="spellStart"/>
      <w:r w:rsidRPr="002965CC">
        <w:rPr>
          <w:b/>
        </w:rPr>
        <w:t>manufacturer</w:t>
      </w:r>
      <w:proofErr w:type="spellEnd"/>
    </w:p>
    <w:p w:rsidR="002965CC" w:rsidRDefault="002965CC" w:rsidP="002965CC"/>
    <w:p w:rsidR="000A4915" w:rsidRDefault="000A4915" w:rsidP="000A4915"/>
    <w:p w:rsidR="000A4915" w:rsidRDefault="002965CC" w:rsidP="000A4915">
      <w:pPr>
        <w:ind w:left="3969" w:hanging="3969"/>
      </w:pPr>
      <w:proofErr w:type="spellStart"/>
      <w:r w:rsidRPr="002965CC">
        <w:t>Dye</w:t>
      </w:r>
      <w:proofErr w:type="spellEnd"/>
      <w:r w:rsidRPr="002965CC">
        <w:t xml:space="preserve"> </w:t>
      </w:r>
      <w:proofErr w:type="spellStart"/>
      <w:r w:rsidRPr="002965CC">
        <w:t>manufacturer</w:t>
      </w:r>
      <w:proofErr w:type="spellEnd"/>
      <w:r w:rsidR="000A4915">
        <w:t>:</w:t>
      </w:r>
      <w:r w:rsidR="0072221A">
        <w:t xml:space="preserve"> </w:t>
      </w:r>
      <w:r w:rsidR="0072221A"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72221A">
        <w:instrText xml:space="preserve"> FORMTEXT </w:instrText>
      </w:r>
      <w:r w:rsidR="0072221A">
        <w:fldChar w:fldCharType="separate"/>
      </w:r>
      <w:bookmarkStart w:id="0" w:name="_GoBack"/>
      <w:bookmarkEnd w:id="0"/>
      <w:r w:rsidR="0072221A">
        <w:rPr>
          <w:noProof/>
        </w:rPr>
        <w:t> </w:t>
      </w:r>
      <w:r w:rsidR="0072221A">
        <w:rPr>
          <w:noProof/>
        </w:rPr>
        <w:t> </w:t>
      </w:r>
      <w:r w:rsidR="0072221A">
        <w:rPr>
          <w:noProof/>
        </w:rPr>
        <w:t> </w:t>
      </w:r>
      <w:r w:rsidR="0072221A">
        <w:rPr>
          <w:noProof/>
        </w:rPr>
        <w:t> </w:t>
      </w:r>
      <w:r w:rsidR="0072221A">
        <w:rPr>
          <w:noProof/>
        </w:rPr>
        <w:t> </w:t>
      </w:r>
      <w:r w:rsidR="0072221A">
        <w:fldChar w:fldCharType="end"/>
      </w:r>
    </w:p>
    <w:p w:rsidR="0072221A" w:rsidRDefault="0072221A" w:rsidP="000A4915">
      <w:pPr>
        <w:ind w:left="3969" w:hanging="3969"/>
      </w:pPr>
    </w:p>
    <w:p w:rsidR="0072221A" w:rsidRDefault="00D27121" w:rsidP="000A4915">
      <w:pPr>
        <w:ind w:left="3969" w:hanging="3969"/>
      </w:pPr>
      <w:proofErr w:type="spellStart"/>
      <w:r>
        <w:t>Dyes</w:t>
      </w:r>
      <w:proofErr w:type="spellEnd"/>
      <w:r w:rsidR="0072221A">
        <w:t>:</w:t>
      </w:r>
    </w:p>
    <w:p w:rsidR="0072221A" w:rsidRDefault="0072221A" w:rsidP="000A4915">
      <w:pPr>
        <w:ind w:left="3969" w:hanging="3969"/>
      </w:pPr>
    </w:p>
    <w:tbl>
      <w:tblPr>
        <w:tblStyle w:val="Tabellenraster"/>
        <w:tblW w:w="0" w:type="auto"/>
        <w:tblInd w:w="-5" w:type="dxa"/>
        <w:tblLook w:val="04A0" w:firstRow="1" w:lastRow="0" w:firstColumn="1" w:lastColumn="0" w:noHBand="0" w:noVBand="1"/>
      </w:tblPr>
      <w:tblGrid>
        <w:gridCol w:w="2617"/>
        <w:gridCol w:w="2617"/>
      </w:tblGrid>
      <w:tr w:rsidR="0072221A" w:rsidTr="0072221A">
        <w:tc>
          <w:tcPr>
            <w:tcW w:w="2617" w:type="dxa"/>
          </w:tcPr>
          <w:p w:rsidR="0072221A" w:rsidRDefault="00D27121" w:rsidP="000A4915">
            <w:r>
              <w:t>Name</w:t>
            </w:r>
          </w:p>
        </w:tc>
        <w:tc>
          <w:tcPr>
            <w:tcW w:w="2617" w:type="dxa"/>
          </w:tcPr>
          <w:p w:rsidR="0072221A" w:rsidRDefault="0072221A" w:rsidP="000A4915">
            <w:r>
              <w:t>CAS-</w:t>
            </w:r>
            <w:proofErr w:type="spellStart"/>
            <w:r>
              <w:t>N</w:t>
            </w:r>
            <w:r w:rsidR="00D27121">
              <w:t>umber</w:t>
            </w:r>
            <w:proofErr w:type="spellEnd"/>
          </w:p>
        </w:tc>
      </w:tr>
      <w:tr w:rsidR="0072221A" w:rsidTr="0072221A">
        <w:tc>
          <w:tcPr>
            <w:tcW w:w="2617" w:type="dxa"/>
          </w:tcPr>
          <w:p w:rsidR="0072221A" w:rsidRDefault="0072221A" w:rsidP="000A4915"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7" w:type="dxa"/>
          </w:tcPr>
          <w:p w:rsidR="0072221A" w:rsidRDefault="0072221A" w:rsidP="000A4915">
            <w:r>
              <w:fldChar w:fldCharType="begin">
                <w:ffData>
                  <w:name w:val="Text2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72221A" w:rsidRDefault="0072221A" w:rsidP="000A4915">
      <w:pPr>
        <w:ind w:left="3969" w:hanging="3969"/>
      </w:pPr>
    </w:p>
    <w:p w:rsidR="000A4915" w:rsidRDefault="000A4915" w:rsidP="000A4915">
      <w:pPr>
        <w:ind w:left="3969" w:hanging="3969"/>
        <w:rPr>
          <w:lang w:eastAsia="ar-SA"/>
        </w:rPr>
      </w:pPr>
    </w:p>
    <w:p w:rsidR="00D27121" w:rsidRDefault="00D27121" w:rsidP="00D27121">
      <w:pPr>
        <w:rPr>
          <w:rFonts w:ascii="Verdana" w:hAnsi="Verdana" w:cstheme="minorBidi"/>
          <w:sz w:val="20"/>
          <w:szCs w:val="20"/>
        </w:rPr>
      </w:pPr>
      <w:proofErr w:type="spellStart"/>
      <w:r>
        <w:t>To</w:t>
      </w:r>
      <w:proofErr w:type="spellEnd"/>
      <w:r>
        <w:t xml:space="preserve"> </w:t>
      </w:r>
      <w:proofErr w:type="spellStart"/>
      <w:r>
        <w:t>protect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environment</w:t>
      </w:r>
      <w:proofErr w:type="spellEnd"/>
      <w:r>
        <w:t xml:space="preserve"> and </w:t>
      </w:r>
      <w:proofErr w:type="spellStart"/>
      <w:r>
        <w:t>health</w:t>
      </w:r>
      <w:proofErr w:type="spellEnd"/>
      <w:r>
        <w:t xml:space="preserve">, </w:t>
      </w:r>
      <w:proofErr w:type="spellStart"/>
      <w:r>
        <w:t>substances</w:t>
      </w:r>
      <w:proofErr w:type="spellEnd"/>
      <w:r>
        <w:t xml:space="preserve"> and </w:t>
      </w:r>
      <w:proofErr w:type="spellStart"/>
      <w:r>
        <w:t>mixtures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certain</w:t>
      </w:r>
      <w:proofErr w:type="spellEnd"/>
      <w:r>
        <w:t xml:space="preserve"> </w:t>
      </w:r>
      <w:proofErr w:type="spellStart"/>
      <w:r>
        <w:t>properties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not </w:t>
      </w:r>
      <w:proofErr w:type="spellStart"/>
      <w:r>
        <w:t>permitted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product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parts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product</w:t>
      </w:r>
      <w:proofErr w:type="spellEnd"/>
      <w:r>
        <w:t xml:space="preserve">. </w:t>
      </w:r>
    </w:p>
    <w:p w:rsidR="00D27121" w:rsidRDefault="00D27121" w:rsidP="00D27121">
      <w:r>
        <w:t xml:space="preserve">The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substances</w:t>
      </w:r>
      <w:proofErr w:type="spellEnd"/>
      <w:r>
        <w:t xml:space="preserve"> </w:t>
      </w:r>
      <w:proofErr w:type="spellStart"/>
      <w:r>
        <w:t>may</w:t>
      </w:r>
      <w:proofErr w:type="spellEnd"/>
      <w:r>
        <w:t xml:space="preserve"> not </w:t>
      </w:r>
      <w:proofErr w:type="spellStart"/>
      <w:r>
        <w:t>be</w:t>
      </w:r>
      <w:proofErr w:type="spellEnd"/>
      <w:r>
        <w:t xml:space="preserve"> a </w:t>
      </w:r>
      <w:proofErr w:type="spellStart"/>
      <w:r>
        <w:t>constituent</w:t>
      </w:r>
      <w:proofErr w:type="spellEnd"/>
      <w:r>
        <w:t xml:space="preserve"> </w:t>
      </w:r>
      <w:proofErr w:type="spellStart"/>
      <w:r>
        <w:t>component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hygiene</w:t>
      </w:r>
      <w:proofErr w:type="spellEnd"/>
      <w:r>
        <w:t xml:space="preserve"> </w:t>
      </w:r>
      <w:proofErr w:type="spellStart"/>
      <w:r>
        <w:t>product</w:t>
      </w:r>
      <w:proofErr w:type="spellEnd"/>
      <w:r>
        <w:rPr>
          <w:rStyle w:val="Funotenzeichen"/>
          <w:rFonts w:eastAsiaTheme="minorEastAsia"/>
        </w:rPr>
        <w:footnoteReference w:id="1"/>
      </w:r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parts</w:t>
      </w:r>
      <w:proofErr w:type="spellEnd"/>
      <w:r>
        <w:t xml:space="preserve"> </w:t>
      </w:r>
      <w:proofErr w:type="spellStart"/>
      <w:r>
        <w:t>thereof</w:t>
      </w:r>
      <w:proofErr w:type="spellEnd"/>
      <w:r>
        <w:rPr>
          <w:rStyle w:val="Funotenzeichen"/>
          <w:rFonts w:eastAsiaTheme="minorEastAsia"/>
        </w:rPr>
        <w:footnoteReference w:id="2"/>
      </w:r>
      <w:r>
        <w:t>:</w:t>
      </w:r>
    </w:p>
    <w:p w:rsidR="00D27121" w:rsidRDefault="00D27121" w:rsidP="00D27121"/>
    <w:p w:rsidR="00D27121" w:rsidRPr="00D27121" w:rsidRDefault="00D27121" w:rsidP="00D27121">
      <w:pPr>
        <w:pStyle w:val="AufzhlungBuchstabe"/>
        <w:rPr>
          <w:rFonts w:ascii="Arial" w:eastAsia="Times New Roman" w:hAnsi="Arial" w:cs="Arial"/>
          <w:sz w:val="22"/>
          <w:szCs w:val="22"/>
          <w:lang w:eastAsia="de-DE"/>
        </w:rPr>
      </w:pPr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The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use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of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substances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of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very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high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concern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(SVHC)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that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have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been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identified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as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being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particularly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alarming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in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accordance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with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Article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57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of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Regulation (EC)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No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1907/2006 (REACH) and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added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to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the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so-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called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“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candidate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list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>”</w:t>
      </w:r>
      <w:r w:rsidRPr="00D27121">
        <w:rPr>
          <w:rFonts w:ascii="Arial" w:eastAsia="Times New Roman" w:hAnsi="Arial" w:cs="Arial"/>
          <w:sz w:val="22"/>
          <w:szCs w:val="22"/>
          <w:lang w:eastAsia="de-DE"/>
        </w:rPr>
        <w:footnoteReference w:id="3"/>
      </w:r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according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to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Article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59 Paragraph 1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of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the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same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regulation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is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prohibited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in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the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end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products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. </w:t>
      </w:r>
      <w:r w:rsidRPr="00D27121">
        <w:rPr>
          <w:rFonts w:ascii="Arial" w:eastAsia="Times New Roman" w:hAnsi="Arial" w:cs="Arial"/>
          <w:sz w:val="22"/>
          <w:szCs w:val="22"/>
          <w:lang w:eastAsia="de-DE"/>
        </w:rPr>
        <w:tab/>
      </w:r>
      <w:r w:rsidRPr="00D27121">
        <w:rPr>
          <w:rFonts w:ascii="Arial" w:eastAsia="Times New Roman" w:hAnsi="Arial" w:cs="Arial"/>
          <w:sz w:val="22"/>
          <w:szCs w:val="22"/>
          <w:lang w:eastAsia="de-DE"/>
        </w:rPr>
        <w:br/>
        <w:t xml:space="preserve">The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version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of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the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list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of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candidates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at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the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time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of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application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is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valid.</w:t>
      </w:r>
    </w:p>
    <w:p w:rsidR="00D27121" w:rsidRDefault="00D27121" w:rsidP="00D27121">
      <w:pPr>
        <w:pStyle w:val="AufzhlungBuchstabe"/>
        <w:rPr>
          <w:rFonts w:ascii="Arial" w:eastAsia="Times New Roman" w:hAnsi="Arial" w:cs="Arial"/>
          <w:sz w:val="22"/>
          <w:szCs w:val="22"/>
          <w:lang w:eastAsia="de-DE"/>
        </w:rPr>
      </w:pP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Substances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and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mixtures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which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according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to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the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criteria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of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Regulation (EC)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No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1272/2008 (CLP)</w:t>
      </w:r>
      <w:bookmarkStart w:id="1" w:name="_Ref497830337"/>
      <w:r w:rsidRPr="00D27121">
        <w:rPr>
          <w:rFonts w:ascii="Arial" w:eastAsia="Times New Roman" w:hAnsi="Arial" w:cs="Arial"/>
          <w:sz w:val="22"/>
          <w:szCs w:val="22"/>
          <w:lang w:eastAsia="de-DE"/>
        </w:rPr>
        <w:footnoteReference w:id="4"/>
      </w:r>
      <w:bookmarkEnd w:id="1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are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assigned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the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following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H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Phrases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named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in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the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table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or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which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meet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the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criteria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for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such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classification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>.</w:t>
      </w:r>
      <w:r w:rsidRPr="00D27121">
        <w:rPr>
          <w:rFonts w:ascii="Arial" w:eastAsia="Times New Roman" w:hAnsi="Arial" w:cs="Arial"/>
          <w:sz w:val="22"/>
          <w:szCs w:val="22"/>
          <w:lang w:eastAsia="de-DE"/>
        </w:rPr>
        <w:footnoteReference w:id="5"/>
      </w:r>
    </w:p>
    <w:p w:rsidR="00D27121" w:rsidRDefault="00D27121" w:rsidP="00D27121">
      <w:pPr>
        <w:pStyle w:val="AufzhlungBuchstabe"/>
        <w:numPr>
          <w:ilvl w:val="0"/>
          <w:numId w:val="0"/>
        </w:numPr>
        <w:ind w:left="425"/>
        <w:rPr>
          <w:rFonts w:ascii="Arial" w:eastAsia="Times New Roman" w:hAnsi="Arial" w:cs="Arial"/>
          <w:sz w:val="22"/>
          <w:szCs w:val="22"/>
          <w:lang w:eastAsia="de-DE"/>
        </w:rPr>
      </w:pPr>
    </w:p>
    <w:p w:rsidR="00D27121" w:rsidRPr="00D27121" w:rsidRDefault="00D27121" w:rsidP="00D27121">
      <w:pPr>
        <w:pStyle w:val="AufzhlungBuchstabe"/>
        <w:numPr>
          <w:ilvl w:val="0"/>
          <w:numId w:val="0"/>
        </w:numPr>
        <w:ind w:left="425"/>
        <w:rPr>
          <w:rFonts w:ascii="Arial" w:eastAsia="Times New Roman" w:hAnsi="Arial" w:cs="Arial"/>
          <w:sz w:val="22"/>
          <w:szCs w:val="22"/>
          <w:lang w:eastAsia="de-DE"/>
        </w:rPr>
      </w:pPr>
    </w:p>
    <w:p w:rsidR="00D27121" w:rsidRDefault="00D27121" w:rsidP="00D27121"/>
    <w:p w:rsidR="00D27121" w:rsidRPr="00D27121" w:rsidRDefault="00D27121" w:rsidP="00D27121"/>
    <w:p w:rsidR="00D27121" w:rsidRDefault="00D27121" w:rsidP="00D27121">
      <w:pPr>
        <w:spacing w:line="276" w:lineRule="auto"/>
        <w:rPr>
          <w:sz w:val="16"/>
          <w:szCs w:val="16"/>
        </w:rPr>
      </w:pPr>
    </w:p>
    <w:p w:rsidR="00D27121" w:rsidRPr="00D27121" w:rsidRDefault="00D27121" w:rsidP="00D27121">
      <w:pPr>
        <w:pStyle w:val="Standardklein"/>
        <w:rPr>
          <w:rFonts w:ascii="Arial" w:eastAsia="Times New Roman" w:hAnsi="Arial" w:cs="Arial"/>
          <w:sz w:val="22"/>
          <w:szCs w:val="22"/>
          <w:lang w:eastAsia="de-DE"/>
        </w:rPr>
      </w:pPr>
      <w:r w:rsidRPr="00D27121">
        <w:rPr>
          <w:rFonts w:ascii="Arial" w:eastAsia="Times New Roman" w:hAnsi="Arial" w:cs="Arial"/>
          <w:sz w:val="22"/>
          <w:szCs w:val="22"/>
          <w:lang w:eastAsia="de-DE"/>
        </w:rPr>
        <w:lastRenderedPageBreak/>
        <w:t xml:space="preserve">Table </w:t>
      </w:r>
      <w:r w:rsidRPr="00D27121">
        <w:rPr>
          <w:rFonts w:ascii="Arial" w:eastAsia="Times New Roman" w:hAnsi="Arial" w:cs="Arial"/>
          <w:sz w:val="22"/>
          <w:szCs w:val="22"/>
          <w:lang w:eastAsia="de-DE"/>
        </w:rPr>
        <w:fldChar w:fldCharType="begin"/>
      </w:r>
      <w:r w:rsidRPr="00D27121">
        <w:rPr>
          <w:rFonts w:ascii="Arial" w:eastAsia="Times New Roman" w:hAnsi="Arial" w:cs="Arial"/>
          <w:sz w:val="22"/>
          <w:szCs w:val="22"/>
          <w:lang w:eastAsia="de-DE"/>
        </w:rPr>
        <w:instrText xml:space="preserve"> SEQ Tabelle \* ARABIC </w:instrText>
      </w:r>
      <w:r w:rsidRPr="00D27121">
        <w:rPr>
          <w:rFonts w:ascii="Arial" w:eastAsia="Times New Roman" w:hAnsi="Arial" w:cs="Arial"/>
          <w:sz w:val="22"/>
          <w:szCs w:val="22"/>
          <w:lang w:eastAsia="de-DE"/>
        </w:rPr>
        <w:fldChar w:fldCharType="separate"/>
      </w:r>
      <w:r w:rsidRPr="00D27121">
        <w:rPr>
          <w:rFonts w:ascii="Arial" w:eastAsia="Times New Roman" w:hAnsi="Arial" w:cs="Arial"/>
          <w:sz w:val="22"/>
          <w:szCs w:val="22"/>
          <w:lang w:eastAsia="de-DE"/>
        </w:rPr>
        <w:t>1</w:t>
      </w:r>
      <w:r w:rsidRPr="00D27121">
        <w:rPr>
          <w:rFonts w:ascii="Arial" w:eastAsia="Times New Roman" w:hAnsi="Arial" w:cs="Arial"/>
          <w:sz w:val="22"/>
          <w:szCs w:val="22"/>
          <w:lang w:eastAsia="de-DE"/>
        </w:rPr>
        <w:fldChar w:fldCharType="end"/>
      </w:r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: H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Phrases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and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associated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wording</w:t>
      </w:r>
      <w:proofErr w:type="spellEnd"/>
    </w:p>
    <w:tbl>
      <w:tblPr>
        <w:tblStyle w:val="TabellefrVergabegrundlage"/>
        <w:tblW w:w="969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587"/>
        <w:gridCol w:w="8103"/>
      </w:tblGrid>
      <w:tr w:rsidR="00D27121" w:rsidTr="00D271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pPr>
              <w:pStyle w:val="Standardfett"/>
              <w:jc w:val="left"/>
              <w:rPr>
                <w:rStyle w:val="StandardfettnurWort"/>
              </w:rPr>
            </w:pPr>
            <w:r>
              <w:rPr>
                <w:rStyle w:val="StandardfettnurWort"/>
              </w:rPr>
              <w:t xml:space="preserve">H </w:t>
            </w:r>
            <w:proofErr w:type="spellStart"/>
            <w:r>
              <w:rPr>
                <w:rStyle w:val="StandardfettnurWort"/>
              </w:rPr>
              <w:t>Phrases</w:t>
            </w:r>
            <w:proofErr w:type="spellEnd"/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pPr>
              <w:pStyle w:val="Standardfett"/>
              <w:jc w:val="left"/>
              <w:rPr>
                <w:rStyle w:val="StandardfettnurWort"/>
              </w:rPr>
            </w:pPr>
            <w:r>
              <w:rPr>
                <w:rStyle w:val="StandardfettnurWort"/>
              </w:rPr>
              <w:t>Wording</w:t>
            </w:r>
          </w:p>
        </w:tc>
      </w:tr>
      <w:tr w:rsidR="00D27121" w:rsidTr="00D27121"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pPr>
              <w:pStyle w:val="Standardklein"/>
              <w:jc w:val="left"/>
              <w:rPr>
                <w:rStyle w:val="StandardfettnurWort"/>
              </w:rPr>
            </w:pPr>
            <w:proofErr w:type="spellStart"/>
            <w:r>
              <w:rPr>
                <w:rStyle w:val="StandardfettnurWort"/>
              </w:rPr>
              <w:t>Toxic</w:t>
            </w:r>
            <w:proofErr w:type="spellEnd"/>
            <w:r>
              <w:rPr>
                <w:rStyle w:val="StandardfettnurWort"/>
              </w:rPr>
              <w:t xml:space="preserve"> </w:t>
            </w:r>
            <w:proofErr w:type="spellStart"/>
            <w:r>
              <w:rPr>
                <w:rStyle w:val="StandardfettnurWort"/>
              </w:rPr>
              <w:t>substances</w:t>
            </w:r>
            <w:proofErr w:type="spellEnd"/>
          </w:p>
        </w:tc>
      </w:tr>
      <w:tr w:rsidR="00D27121" w:rsidTr="00D2712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>H300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 xml:space="preserve">Fatal </w:t>
            </w:r>
            <w:proofErr w:type="spellStart"/>
            <w:r>
              <w:t>if</w:t>
            </w:r>
            <w:proofErr w:type="spellEnd"/>
            <w:r>
              <w:t xml:space="preserve"> </w:t>
            </w:r>
            <w:proofErr w:type="spellStart"/>
            <w:r>
              <w:t>swallowed</w:t>
            </w:r>
            <w:proofErr w:type="spellEnd"/>
          </w:p>
        </w:tc>
      </w:tr>
      <w:tr w:rsidR="00D27121" w:rsidTr="00D2712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>H301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proofErr w:type="spellStart"/>
            <w:r>
              <w:t>Toxic</w:t>
            </w:r>
            <w:proofErr w:type="spellEnd"/>
            <w:r>
              <w:t xml:space="preserve"> </w:t>
            </w:r>
            <w:proofErr w:type="spellStart"/>
            <w:r>
              <w:t>if</w:t>
            </w:r>
            <w:proofErr w:type="spellEnd"/>
            <w:r>
              <w:t xml:space="preserve"> </w:t>
            </w:r>
            <w:proofErr w:type="spellStart"/>
            <w:r>
              <w:t>swallowed</w:t>
            </w:r>
            <w:proofErr w:type="spellEnd"/>
          </w:p>
        </w:tc>
      </w:tr>
      <w:tr w:rsidR="00D27121" w:rsidTr="00D2712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>H302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proofErr w:type="spellStart"/>
            <w:r>
              <w:t>Harmful</w:t>
            </w:r>
            <w:proofErr w:type="spellEnd"/>
            <w:r>
              <w:t xml:space="preserve"> </w:t>
            </w:r>
            <w:proofErr w:type="spellStart"/>
            <w:r>
              <w:t>if</w:t>
            </w:r>
            <w:proofErr w:type="spellEnd"/>
            <w:r>
              <w:t xml:space="preserve"> </w:t>
            </w:r>
            <w:proofErr w:type="spellStart"/>
            <w:r>
              <w:t>swallowed</w:t>
            </w:r>
            <w:proofErr w:type="spellEnd"/>
          </w:p>
        </w:tc>
      </w:tr>
      <w:tr w:rsidR="00D27121" w:rsidTr="00D2712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 xml:space="preserve">H304 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 xml:space="preserve">May </w:t>
            </w:r>
            <w:proofErr w:type="spellStart"/>
            <w:r>
              <w:t>be</w:t>
            </w:r>
            <w:proofErr w:type="spellEnd"/>
            <w:r>
              <w:t xml:space="preserve"> fatal </w:t>
            </w:r>
            <w:proofErr w:type="spellStart"/>
            <w:r>
              <w:t>if</w:t>
            </w:r>
            <w:proofErr w:type="spellEnd"/>
            <w:r>
              <w:t xml:space="preserve"> </w:t>
            </w:r>
            <w:proofErr w:type="spellStart"/>
            <w:r>
              <w:t>swallowed</w:t>
            </w:r>
            <w:proofErr w:type="spellEnd"/>
            <w:r>
              <w:t xml:space="preserve"> and </w:t>
            </w:r>
            <w:proofErr w:type="spellStart"/>
            <w:r>
              <w:t>enters</w:t>
            </w:r>
            <w:proofErr w:type="spellEnd"/>
            <w:r>
              <w:t xml:space="preserve"> </w:t>
            </w:r>
            <w:proofErr w:type="spellStart"/>
            <w:r>
              <w:t>airways</w:t>
            </w:r>
            <w:proofErr w:type="spellEnd"/>
          </w:p>
        </w:tc>
      </w:tr>
      <w:tr w:rsidR="00D27121" w:rsidTr="00D2712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 xml:space="preserve">H310 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 xml:space="preserve">Fatal in </w:t>
            </w:r>
            <w:proofErr w:type="spellStart"/>
            <w:r>
              <w:t>contact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skin</w:t>
            </w:r>
            <w:proofErr w:type="spellEnd"/>
          </w:p>
        </w:tc>
      </w:tr>
      <w:tr w:rsidR="00D27121" w:rsidTr="00D2712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 xml:space="preserve">H311 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proofErr w:type="spellStart"/>
            <w:r>
              <w:t>Toxic</w:t>
            </w:r>
            <w:proofErr w:type="spellEnd"/>
            <w:r>
              <w:t xml:space="preserve"> in </w:t>
            </w:r>
            <w:proofErr w:type="spellStart"/>
            <w:r>
              <w:t>contact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skin</w:t>
            </w:r>
            <w:proofErr w:type="spellEnd"/>
            <w:r>
              <w:t xml:space="preserve"> </w:t>
            </w:r>
          </w:p>
        </w:tc>
      </w:tr>
      <w:tr w:rsidR="00D27121" w:rsidTr="00D2712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>H312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proofErr w:type="spellStart"/>
            <w:r>
              <w:t>Harmful</w:t>
            </w:r>
            <w:proofErr w:type="spellEnd"/>
            <w:r>
              <w:t xml:space="preserve"> in </w:t>
            </w:r>
            <w:proofErr w:type="spellStart"/>
            <w:r>
              <w:t>contact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skin</w:t>
            </w:r>
            <w:proofErr w:type="spellEnd"/>
          </w:p>
        </w:tc>
      </w:tr>
      <w:tr w:rsidR="00D27121" w:rsidTr="00D2712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>H314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proofErr w:type="spellStart"/>
            <w:r>
              <w:t>Causes</w:t>
            </w:r>
            <w:proofErr w:type="spellEnd"/>
            <w:r>
              <w:t xml:space="preserve"> </w:t>
            </w:r>
            <w:proofErr w:type="spellStart"/>
            <w:r>
              <w:t>severe</w:t>
            </w:r>
            <w:proofErr w:type="spellEnd"/>
            <w:r>
              <w:t xml:space="preserve"> </w:t>
            </w:r>
            <w:proofErr w:type="spellStart"/>
            <w:r>
              <w:t>skin</w:t>
            </w:r>
            <w:proofErr w:type="spellEnd"/>
            <w:r>
              <w:t xml:space="preserve"> </w:t>
            </w:r>
            <w:proofErr w:type="spellStart"/>
            <w:r>
              <w:t>burns</w:t>
            </w:r>
            <w:proofErr w:type="spellEnd"/>
            <w:r>
              <w:t xml:space="preserve"> and </w:t>
            </w:r>
            <w:proofErr w:type="spellStart"/>
            <w:r>
              <w:t>eye</w:t>
            </w:r>
            <w:proofErr w:type="spellEnd"/>
            <w:r>
              <w:t xml:space="preserve"> </w:t>
            </w:r>
            <w:proofErr w:type="spellStart"/>
            <w:r>
              <w:t>damage</w:t>
            </w:r>
            <w:proofErr w:type="spellEnd"/>
          </w:p>
        </w:tc>
      </w:tr>
      <w:tr w:rsidR="00D27121" w:rsidTr="00D2712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 xml:space="preserve">H330 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 xml:space="preserve">Fatal </w:t>
            </w:r>
            <w:proofErr w:type="spellStart"/>
            <w:r>
              <w:t>if</w:t>
            </w:r>
            <w:proofErr w:type="spellEnd"/>
            <w:r>
              <w:t xml:space="preserve"> </w:t>
            </w:r>
            <w:proofErr w:type="spellStart"/>
            <w:r>
              <w:t>inhaled</w:t>
            </w:r>
            <w:proofErr w:type="spellEnd"/>
          </w:p>
        </w:tc>
      </w:tr>
      <w:tr w:rsidR="00D27121" w:rsidTr="00D2712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 xml:space="preserve">H331 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proofErr w:type="spellStart"/>
            <w:r>
              <w:t>Toxic</w:t>
            </w:r>
            <w:proofErr w:type="spellEnd"/>
            <w:r>
              <w:t xml:space="preserve"> </w:t>
            </w:r>
            <w:proofErr w:type="spellStart"/>
            <w:r>
              <w:t>if</w:t>
            </w:r>
            <w:proofErr w:type="spellEnd"/>
            <w:r>
              <w:t xml:space="preserve"> </w:t>
            </w:r>
            <w:proofErr w:type="spellStart"/>
            <w:r>
              <w:t>inhaled</w:t>
            </w:r>
            <w:proofErr w:type="spellEnd"/>
          </w:p>
        </w:tc>
      </w:tr>
      <w:tr w:rsidR="00D27121" w:rsidTr="00D2712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>H332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proofErr w:type="spellStart"/>
            <w:r>
              <w:t>Harmful</w:t>
            </w:r>
            <w:proofErr w:type="spellEnd"/>
            <w:r>
              <w:t xml:space="preserve"> </w:t>
            </w:r>
            <w:proofErr w:type="spellStart"/>
            <w:r>
              <w:t>if</w:t>
            </w:r>
            <w:proofErr w:type="spellEnd"/>
            <w:r>
              <w:t xml:space="preserve"> </w:t>
            </w:r>
            <w:proofErr w:type="spellStart"/>
            <w:r>
              <w:t>inhaled</w:t>
            </w:r>
            <w:proofErr w:type="spellEnd"/>
          </w:p>
        </w:tc>
      </w:tr>
      <w:tr w:rsidR="00D27121" w:rsidTr="00D2712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 xml:space="preserve">H370 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proofErr w:type="spellStart"/>
            <w:r>
              <w:t>Causes</w:t>
            </w:r>
            <w:proofErr w:type="spellEnd"/>
            <w:r>
              <w:t xml:space="preserve"> </w:t>
            </w:r>
            <w:proofErr w:type="spellStart"/>
            <w:r>
              <w:t>damage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organs</w:t>
            </w:r>
            <w:proofErr w:type="spellEnd"/>
          </w:p>
        </w:tc>
      </w:tr>
      <w:tr w:rsidR="00D27121" w:rsidTr="00D2712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 xml:space="preserve">H371 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 xml:space="preserve">May </w:t>
            </w:r>
            <w:proofErr w:type="spellStart"/>
            <w:r>
              <w:t>cause</w:t>
            </w:r>
            <w:proofErr w:type="spellEnd"/>
            <w:r>
              <w:t xml:space="preserve"> </w:t>
            </w:r>
            <w:proofErr w:type="spellStart"/>
            <w:r>
              <w:t>damage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organs</w:t>
            </w:r>
            <w:proofErr w:type="spellEnd"/>
          </w:p>
        </w:tc>
      </w:tr>
      <w:tr w:rsidR="00D27121" w:rsidTr="00D2712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 xml:space="preserve">H372 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proofErr w:type="spellStart"/>
            <w:r>
              <w:t>Causes</w:t>
            </w:r>
            <w:proofErr w:type="spellEnd"/>
            <w:r>
              <w:t xml:space="preserve"> </w:t>
            </w:r>
            <w:proofErr w:type="spellStart"/>
            <w:r>
              <w:t>damage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organs</w:t>
            </w:r>
            <w:proofErr w:type="spellEnd"/>
            <w:r>
              <w:t xml:space="preserve"> </w:t>
            </w:r>
            <w:proofErr w:type="spellStart"/>
            <w:r>
              <w:t>through</w:t>
            </w:r>
            <w:proofErr w:type="spellEnd"/>
            <w:r>
              <w:t xml:space="preserve"> </w:t>
            </w:r>
            <w:proofErr w:type="spellStart"/>
            <w:r>
              <w:t>prolonged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repeated</w:t>
            </w:r>
            <w:proofErr w:type="spellEnd"/>
            <w:r>
              <w:t xml:space="preserve"> </w:t>
            </w:r>
            <w:proofErr w:type="spellStart"/>
            <w:r>
              <w:t>exposure</w:t>
            </w:r>
            <w:proofErr w:type="spellEnd"/>
          </w:p>
        </w:tc>
      </w:tr>
      <w:tr w:rsidR="00D27121" w:rsidTr="00D2712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 xml:space="preserve">H373 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 xml:space="preserve">May </w:t>
            </w:r>
            <w:proofErr w:type="spellStart"/>
            <w:r>
              <w:t>cause</w:t>
            </w:r>
            <w:proofErr w:type="spellEnd"/>
            <w:r>
              <w:t xml:space="preserve"> </w:t>
            </w:r>
            <w:proofErr w:type="spellStart"/>
            <w:r>
              <w:t>damage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organs</w:t>
            </w:r>
            <w:proofErr w:type="spellEnd"/>
            <w:r>
              <w:t xml:space="preserve"> </w:t>
            </w:r>
            <w:proofErr w:type="spellStart"/>
            <w:r>
              <w:t>through</w:t>
            </w:r>
            <w:proofErr w:type="spellEnd"/>
            <w:r>
              <w:t xml:space="preserve"> </w:t>
            </w:r>
            <w:proofErr w:type="spellStart"/>
            <w:r>
              <w:t>prolonged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repeated</w:t>
            </w:r>
            <w:proofErr w:type="spellEnd"/>
            <w:r>
              <w:t xml:space="preserve"> </w:t>
            </w:r>
            <w:proofErr w:type="spellStart"/>
            <w:r>
              <w:t>exposure</w:t>
            </w:r>
            <w:proofErr w:type="spellEnd"/>
          </w:p>
        </w:tc>
      </w:tr>
      <w:tr w:rsidR="00D27121" w:rsidTr="00D27121"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pPr>
              <w:pStyle w:val="Standardklein"/>
              <w:jc w:val="left"/>
              <w:rPr>
                <w:rStyle w:val="StandardfettnurWort"/>
              </w:rPr>
            </w:pPr>
            <w:proofErr w:type="spellStart"/>
            <w:r>
              <w:rPr>
                <w:rStyle w:val="StandardfettnurWort"/>
              </w:rPr>
              <w:t>Sensitizing</w:t>
            </w:r>
            <w:proofErr w:type="spellEnd"/>
            <w:r>
              <w:rPr>
                <w:rStyle w:val="StandardfettnurWort"/>
              </w:rPr>
              <w:t xml:space="preserve"> </w:t>
            </w:r>
            <w:proofErr w:type="spellStart"/>
            <w:r>
              <w:rPr>
                <w:rStyle w:val="StandardfettnurWort"/>
              </w:rPr>
              <w:t>substances</w:t>
            </w:r>
            <w:proofErr w:type="spellEnd"/>
          </w:p>
        </w:tc>
      </w:tr>
      <w:tr w:rsidR="00D27121" w:rsidTr="00D2712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>H317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 xml:space="preserve">May </w:t>
            </w:r>
            <w:proofErr w:type="spellStart"/>
            <w:r>
              <w:t>cause</w:t>
            </w:r>
            <w:proofErr w:type="spellEnd"/>
            <w:r>
              <w:t xml:space="preserve"> an </w:t>
            </w:r>
            <w:proofErr w:type="spellStart"/>
            <w:r>
              <w:t>allergic</w:t>
            </w:r>
            <w:proofErr w:type="spellEnd"/>
            <w:r>
              <w:t xml:space="preserve"> </w:t>
            </w:r>
            <w:proofErr w:type="spellStart"/>
            <w:r>
              <w:t>skin</w:t>
            </w:r>
            <w:proofErr w:type="spellEnd"/>
            <w:r>
              <w:t xml:space="preserve"> </w:t>
            </w:r>
            <w:proofErr w:type="spellStart"/>
            <w:r>
              <w:t>reaction</w:t>
            </w:r>
            <w:proofErr w:type="spellEnd"/>
          </w:p>
        </w:tc>
      </w:tr>
      <w:tr w:rsidR="00D27121" w:rsidTr="00D2712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>H334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 xml:space="preserve">May </w:t>
            </w:r>
            <w:proofErr w:type="spellStart"/>
            <w:r>
              <w:t>cause</w:t>
            </w:r>
            <w:proofErr w:type="spellEnd"/>
            <w:r>
              <w:t xml:space="preserve"> </w:t>
            </w:r>
            <w:proofErr w:type="spellStart"/>
            <w:r>
              <w:t>allergy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asthma</w:t>
            </w:r>
            <w:proofErr w:type="spellEnd"/>
            <w:r>
              <w:t xml:space="preserve"> </w:t>
            </w:r>
            <w:proofErr w:type="spellStart"/>
            <w:r>
              <w:t>symptoms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breathing</w:t>
            </w:r>
            <w:proofErr w:type="spellEnd"/>
            <w:r>
              <w:t xml:space="preserve"> </w:t>
            </w:r>
            <w:proofErr w:type="spellStart"/>
            <w:r>
              <w:t>difficulties</w:t>
            </w:r>
            <w:proofErr w:type="spellEnd"/>
            <w:r>
              <w:t xml:space="preserve"> </w:t>
            </w:r>
            <w:proofErr w:type="spellStart"/>
            <w:r>
              <w:t>if</w:t>
            </w:r>
            <w:proofErr w:type="spellEnd"/>
            <w:r>
              <w:t xml:space="preserve"> </w:t>
            </w:r>
            <w:proofErr w:type="spellStart"/>
            <w:r>
              <w:t>inhaled</w:t>
            </w:r>
            <w:proofErr w:type="spellEnd"/>
          </w:p>
        </w:tc>
      </w:tr>
      <w:tr w:rsidR="00D27121" w:rsidTr="00D27121"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pPr>
              <w:pStyle w:val="Standardklein"/>
              <w:jc w:val="left"/>
              <w:rPr>
                <w:rStyle w:val="StandardfettnurWort"/>
              </w:rPr>
            </w:pPr>
            <w:proofErr w:type="spellStart"/>
            <w:r>
              <w:rPr>
                <w:rStyle w:val="StandardfettnurWort"/>
              </w:rPr>
              <w:t>Carcinogenic</w:t>
            </w:r>
            <w:proofErr w:type="spellEnd"/>
            <w:r>
              <w:rPr>
                <w:rStyle w:val="StandardfettnurWort"/>
              </w:rPr>
              <w:t xml:space="preserve">, </w:t>
            </w:r>
            <w:proofErr w:type="spellStart"/>
            <w:r>
              <w:rPr>
                <w:rStyle w:val="StandardfettnurWort"/>
              </w:rPr>
              <w:t>mutagenic</w:t>
            </w:r>
            <w:proofErr w:type="spellEnd"/>
            <w:r>
              <w:rPr>
                <w:rStyle w:val="StandardfettnurWort"/>
              </w:rPr>
              <w:t xml:space="preserve"> and </w:t>
            </w:r>
            <w:proofErr w:type="spellStart"/>
            <w:r>
              <w:rPr>
                <w:rStyle w:val="StandardfettnurWort"/>
              </w:rPr>
              <w:t>reprotoxic</w:t>
            </w:r>
            <w:proofErr w:type="spellEnd"/>
            <w:r>
              <w:rPr>
                <w:rStyle w:val="StandardfettnurWort"/>
              </w:rPr>
              <w:t xml:space="preserve"> </w:t>
            </w:r>
            <w:proofErr w:type="spellStart"/>
            <w:r>
              <w:rPr>
                <w:rStyle w:val="StandardfettnurWort"/>
              </w:rPr>
              <w:t>substances</w:t>
            </w:r>
            <w:proofErr w:type="spellEnd"/>
          </w:p>
        </w:tc>
      </w:tr>
      <w:tr w:rsidR="00D27121" w:rsidTr="00D2712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>H340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 xml:space="preserve">May </w:t>
            </w:r>
            <w:proofErr w:type="spellStart"/>
            <w:r>
              <w:t>cause</w:t>
            </w:r>
            <w:proofErr w:type="spellEnd"/>
            <w:r>
              <w:t xml:space="preserve"> </w:t>
            </w:r>
            <w:proofErr w:type="spellStart"/>
            <w:r>
              <w:t>genetic</w:t>
            </w:r>
            <w:proofErr w:type="spellEnd"/>
            <w:r>
              <w:t xml:space="preserve"> </w:t>
            </w:r>
            <w:proofErr w:type="spellStart"/>
            <w:r>
              <w:t>defects</w:t>
            </w:r>
            <w:proofErr w:type="spellEnd"/>
            <w:r>
              <w:t>.</w:t>
            </w:r>
          </w:p>
        </w:tc>
      </w:tr>
      <w:tr w:rsidR="00D27121" w:rsidTr="00D2712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 xml:space="preserve">H341 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proofErr w:type="spellStart"/>
            <w:r>
              <w:t>Suspected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causing</w:t>
            </w:r>
            <w:proofErr w:type="spellEnd"/>
            <w:r>
              <w:t xml:space="preserve"> </w:t>
            </w:r>
            <w:proofErr w:type="spellStart"/>
            <w:r>
              <w:t>genetic</w:t>
            </w:r>
            <w:proofErr w:type="spellEnd"/>
            <w:r>
              <w:t xml:space="preserve"> </w:t>
            </w:r>
            <w:proofErr w:type="spellStart"/>
            <w:r>
              <w:t>defects</w:t>
            </w:r>
            <w:proofErr w:type="spellEnd"/>
          </w:p>
        </w:tc>
      </w:tr>
      <w:tr w:rsidR="00D27121" w:rsidTr="00D2712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>H350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 xml:space="preserve">May </w:t>
            </w:r>
            <w:proofErr w:type="spellStart"/>
            <w:r>
              <w:t>cause</w:t>
            </w:r>
            <w:proofErr w:type="spellEnd"/>
            <w:r>
              <w:t xml:space="preserve"> </w:t>
            </w:r>
            <w:proofErr w:type="spellStart"/>
            <w:r>
              <w:t>cancer</w:t>
            </w:r>
            <w:proofErr w:type="spellEnd"/>
            <w:r>
              <w:t>.</w:t>
            </w:r>
          </w:p>
        </w:tc>
      </w:tr>
      <w:tr w:rsidR="00D27121" w:rsidTr="00D2712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>H351</w:t>
            </w:r>
            <w:r>
              <w:rPr>
                <w:rStyle w:val="Funotenzeichen"/>
              </w:rPr>
              <w:footnoteReference w:id="6"/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proofErr w:type="spellStart"/>
            <w:r>
              <w:t>Suspected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causing</w:t>
            </w:r>
            <w:proofErr w:type="spellEnd"/>
            <w:r>
              <w:t xml:space="preserve"> </w:t>
            </w:r>
            <w:proofErr w:type="spellStart"/>
            <w:r>
              <w:t>cancer</w:t>
            </w:r>
            <w:proofErr w:type="spellEnd"/>
            <w:r>
              <w:t>.</w:t>
            </w:r>
          </w:p>
        </w:tc>
      </w:tr>
      <w:tr w:rsidR="00D27121" w:rsidTr="00D2712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>H360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 xml:space="preserve">May </w:t>
            </w:r>
            <w:proofErr w:type="spellStart"/>
            <w:r>
              <w:t>damage</w:t>
            </w:r>
            <w:proofErr w:type="spellEnd"/>
            <w:r>
              <w:t xml:space="preserve"> </w:t>
            </w:r>
            <w:proofErr w:type="spellStart"/>
            <w:r>
              <w:t>fertility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unborn</w:t>
            </w:r>
            <w:proofErr w:type="spellEnd"/>
            <w:r>
              <w:t xml:space="preserve"> </w:t>
            </w:r>
            <w:proofErr w:type="spellStart"/>
            <w:r>
              <w:t>child</w:t>
            </w:r>
            <w:proofErr w:type="spellEnd"/>
          </w:p>
        </w:tc>
      </w:tr>
      <w:tr w:rsidR="00D27121" w:rsidTr="00D2712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>H361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proofErr w:type="spellStart"/>
            <w:r>
              <w:t>Suspected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damaging</w:t>
            </w:r>
            <w:proofErr w:type="spellEnd"/>
            <w:r>
              <w:t xml:space="preserve"> </w:t>
            </w:r>
            <w:proofErr w:type="spellStart"/>
            <w:r>
              <w:t>fertility</w:t>
            </w:r>
            <w:proofErr w:type="spellEnd"/>
            <w:r>
              <w:t xml:space="preserve"> </w:t>
            </w:r>
            <w:proofErr w:type="spellStart"/>
            <w:r>
              <w:t>or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unborn</w:t>
            </w:r>
            <w:proofErr w:type="spellEnd"/>
            <w:r>
              <w:t xml:space="preserve"> </w:t>
            </w:r>
            <w:proofErr w:type="spellStart"/>
            <w:r>
              <w:t>child</w:t>
            </w:r>
            <w:proofErr w:type="spellEnd"/>
            <w:r>
              <w:t>.</w:t>
            </w:r>
          </w:p>
        </w:tc>
      </w:tr>
      <w:tr w:rsidR="00D27121" w:rsidTr="00D27121">
        <w:trPr>
          <w:trHeight w:val="235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 xml:space="preserve">H362 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 xml:space="preserve">May </w:t>
            </w:r>
            <w:proofErr w:type="spellStart"/>
            <w:r>
              <w:t>cause</w:t>
            </w:r>
            <w:proofErr w:type="spellEnd"/>
            <w:r>
              <w:t xml:space="preserve"> </w:t>
            </w:r>
            <w:proofErr w:type="spellStart"/>
            <w:r>
              <w:t>harm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breast</w:t>
            </w:r>
            <w:proofErr w:type="spellEnd"/>
            <w:r>
              <w:t xml:space="preserve"> </w:t>
            </w:r>
            <w:proofErr w:type="spellStart"/>
            <w:r>
              <w:t>fed</w:t>
            </w:r>
            <w:proofErr w:type="spellEnd"/>
            <w:r>
              <w:t xml:space="preserve"> </w:t>
            </w:r>
            <w:proofErr w:type="spellStart"/>
            <w:r>
              <w:t>children</w:t>
            </w:r>
            <w:proofErr w:type="spellEnd"/>
          </w:p>
        </w:tc>
      </w:tr>
      <w:tr w:rsidR="00D27121" w:rsidTr="00D27121"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pPr>
              <w:pStyle w:val="Standardklein"/>
              <w:jc w:val="left"/>
              <w:rPr>
                <w:rStyle w:val="StandardfettnurWort"/>
              </w:rPr>
            </w:pPr>
            <w:r>
              <w:rPr>
                <w:rStyle w:val="StandardfettnurWort"/>
              </w:rPr>
              <w:t xml:space="preserve">Environmental </w:t>
            </w:r>
            <w:proofErr w:type="spellStart"/>
            <w:r>
              <w:rPr>
                <w:rStyle w:val="StandardfettnurWort"/>
              </w:rPr>
              <w:t>hazards</w:t>
            </w:r>
            <w:proofErr w:type="spellEnd"/>
          </w:p>
        </w:tc>
      </w:tr>
      <w:tr w:rsidR="00D27121" w:rsidTr="00D2712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 xml:space="preserve">H400 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 xml:space="preserve">Very </w:t>
            </w:r>
            <w:proofErr w:type="spellStart"/>
            <w:r>
              <w:t>toxic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aquatic</w:t>
            </w:r>
            <w:proofErr w:type="spellEnd"/>
            <w:r>
              <w:t xml:space="preserve"> </w:t>
            </w:r>
            <w:proofErr w:type="spellStart"/>
            <w:r>
              <w:t>life</w:t>
            </w:r>
            <w:proofErr w:type="spellEnd"/>
          </w:p>
        </w:tc>
      </w:tr>
      <w:tr w:rsidR="00D27121" w:rsidTr="00D2712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 xml:space="preserve">H410 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 xml:space="preserve">Very </w:t>
            </w:r>
            <w:proofErr w:type="spellStart"/>
            <w:r>
              <w:t>toxic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aquatic</w:t>
            </w:r>
            <w:proofErr w:type="spellEnd"/>
            <w:r>
              <w:t xml:space="preserve"> </w:t>
            </w:r>
            <w:proofErr w:type="spellStart"/>
            <w:r>
              <w:t>life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long</w:t>
            </w:r>
            <w:proofErr w:type="spellEnd"/>
            <w:r>
              <w:t xml:space="preserve">-lasting </w:t>
            </w:r>
            <w:proofErr w:type="spellStart"/>
            <w:r>
              <w:t>effects</w:t>
            </w:r>
            <w:proofErr w:type="spellEnd"/>
          </w:p>
        </w:tc>
      </w:tr>
      <w:tr w:rsidR="00D27121" w:rsidTr="00D2712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 xml:space="preserve">H411 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proofErr w:type="spellStart"/>
            <w:r>
              <w:t>Toxic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aquatic</w:t>
            </w:r>
            <w:proofErr w:type="spellEnd"/>
            <w:r>
              <w:t xml:space="preserve"> </w:t>
            </w:r>
            <w:proofErr w:type="spellStart"/>
            <w:r>
              <w:t>organisms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long</w:t>
            </w:r>
            <w:proofErr w:type="spellEnd"/>
            <w:r>
              <w:t xml:space="preserve">-lasting </w:t>
            </w:r>
            <w:proofErr w:type="spellStart"/>
            <w:r>
              <w:t>effects</w:t>
            </w:r>
            <w:proofErr w:type="spellEnd"/>
          </w:p>
        </w:tc>
      </w:tr>
      <w:tr w:rsidR="00D27121" w:rsidTr="00D27121"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 xml:space="preserve">H412 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proofErr w:type="spellStart"/>
            <w:r>
              <w:t>Harmful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aquatic</w:t>
            </w:r>
            <w:proofErr w:type="spellEnd"/>
            <w:r>
              <w:t xml:space="preserve"> </w:t>
            </w:r>
            <w:proofErr w:type="spellStart"/>
            <w:r>
              <w:t>organisms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long</w:t>
            </w:r>
            <w:proofErr w:type="spellEnd"/>
            <w:r>
              <w:t xml:space="preserve"> </w:t>
            </w:r>
            <w:proofErr w:type="spellStart"/>
            <w:r>
              <w:t>lasting</w:t>
            </w:r>
            <w:proofErr w:type="spellEnd"/>
            <w:r>
              <w:t xml:space="preserve"> </w:t>
            </w:r>
            <w:proofErr w:type="spellStart"/>
            <w:r>
              <w:t>effects</w:t>
            </w:r>
            <w:proofErr w:type="spellEnd"/>
          </w:p>
        </w:tc>
      </w:tr>
      <w:tr w:rsidR="00D27121" w:rsidTr="00D27121">
        <w:trPr>
          <w:trHeight w:val="68"/>
        </w:trPr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 xml:space="preserve">H413 </w:t>
            </w:r>
          </w:p>
        </w:tc>
        <w:tc>
          <w:tcPr>
            <w:tcW w:w="8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 xml:space="preserve">May </w:t>
            </w:r>
            <w:proofErr w:type="spellStart"/>
            <w:r>
              <w:t>cause</w:t>
            </w:r>
            <w:proofErr w:type="spellEnd"/>
            <w:r>
              <w:t xml:space="preserve"> </w:t>
            </w:r>
            <w:proofErr w:type="spellStart"/>
            <w:r>
              <w:t>long</w:t>
            </w:r>
            <w:proofErr w:type="spellEnd"/>
            <w:r>
              <w:t xml:space="preserve"> </w:t>
            </w:r>
            <w:proofErr w:type="spellStart"/>
            <w:r>
              <w:t>lasting</w:t>
            </w:r>
            <w:proofErr w:type="spellEnd"/>
            <w:r>
              <w:t xml:space="preserve"> </w:t>
            </w:r>
            <w:proofErr w:type="spellStart"/>
            <w:r>
              <w:t>harmful</w:t>
            </w:r>
            <w:proofErr w:type="spellEnd"/>
            <w:r>
              <w:t xml:space="preserve"> </w:t>
            </w:r>
            <w:proofErr w:type="spellStart"/>
            <w:r>
              <w:t>effects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aquatic</w:t>
            </w:r>
            <w:proofErr w:type="spellEnd"/>
            <w:r>
              <w:t xml:space="preserve"> </w:t>
            </w:r>
            <w:proofErr w:type="spellStart"/>
            <w:r>
              <w:t>life</w:t>
            </w:r>
            <w:proofErr w:type="spellEnd"/>
          </w:p>
        </w:tc>
      </w:tr>
    </w:tbl>
    <w:p w:rsidR="00D27121" w:rsidRDefault="00D27121" w:rsidP="00D27121">
      <w:pPr>
        <w:pStyle w:val="Standardklein"/>
        <w:rPr>
          <w:rFonts w:ascii="Verdana" w:hAnsi="Verdana" w:cstheme="minorBidi"/>
          <w:lang w:val="en-GB"/>
        </w:rPr>
      </w:pPr>
      <w:r>
        <w:t xml:space="preserve">Source: H </w:t>
      </w:r>
      <w:proofErr w:type="spellStart"/>
      <w:r>
        <w:t>Phrases</w:t>
      </w:r>
      <w:proofErr w:type="spellEnd"/>
      <w:r>
        <w:t xml:space="preserve"> </w:t>
      </w:r>
      <w:proofErr w:type="spellStart"/>
      <w:r>
        <w:t>according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CLP Regulation</w:t>
      </w:r>
    </w:p>
    <w:p w:rsidR="00D27121" w:rsidRDefault="00D27121" w:rsidP="00D27121">
      <w:pPr>
        <w:pStyle w:val="AufzhlungBuchstabe"/>
        <w:numPr>
          <w:ilvl w:val="0"/>
          <w:numId w:val="0"/>
        </w:numPr>
      </w:pPr>
    </w:p>
    <w:p w:rsidR="00D27121" w:rsidRDefault="00D27121" w:rsidP="00D27121">
      <w:pPr>
        <w:pStyle w:val="AufzhlungBuchstabe"/>
        <w:rPr>
          <w:rFonts w:ascii="Arial" w:eastAsia="Times New Roman" w:hAnsi="Arial" w:cs="Arial"/>
          <w:sz w:val="22"/>
          <w:szCs w:val="22"/>
          <w:lang w:eastAsia="de-DE"/>
        </w:rPr>
      </w:pPr>
      <w:bookmarkStart w:id="2" w:name="_Ref493792570"/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Substances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whose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degradation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products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have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properties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that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are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carcinogenic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,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mutagenic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or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proofErr w:type="spellStart"/>
      <w:r w:rsidRPr="00D27121">
        <w:rPr>
          <w:rFonts w:ascii="Arial" w:eastAsia="Times New Roman" w:hAnsi="Arial" w:cs="Arial"/>
          <w:sz w:val="22"/>
          <w:szCs w:val="22"/>
          <w:lang w:eastAsia="de-DE"/>
        </w:rPr>
        <w:t>reprotoxic</w:t>
      </w:r>
      <w:proofErr w:type="spellEnd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. No dyes that contain azo dyes that could release aromatic amines classified </w:t>
      </w:r>
      <w:r w:rsidRPr="00D27121">
        <w:rPr>
          <w:rFonts w:ascii="Arial" w:eastAsia="Times New Roman" w:hAnsi="Arial" w:cs="Arial"/>
          <w:sz w:val="22"/>
          <w:szCs w:val="22"/>
          <w:lang w:eastAsia="de-DE"/>
        </w:rPr>
        <w:lastRenderedPageBreak/>
        <w:t xml:space="preserve">as carcinogens (see </w:t>
      </w:r>
      <w:r w:rsidRPr="00D27121">
        <w:rPr>
          <w:rFonts w:ascii="Arial" w:eastAsia="Times New Roman" w:hAnsi="Arial" w:cs="Arial"/>
          <w:sz w:val="22"/>
          <w:szCs w:val="22"/>
          <w:lang w:eastAsia="de-DE"/>
        </w:rPr>
        <w:fldChar w:fldCharType="begin"/>
      </w:r>
      <w:r w:rsidRPr="00D27121">
        <w:rPr>
          <w:rFonts w:ascii="Arial" w:eastAsia="Times New Roman" w:hAnsi="Arial" w:cs="Arial"/>
          <w:sz w:val="22"/>
          <w:szCs w:val="22"/>
          <w:lang w:eastAsia="de-DE"/>
        </w:rPr>
        <w:instrText xml:space="preserve"> REF _Ref507579548 \r \h </w:instrText>
      </w:r>
      <w:r>
        <w:rPr>
          <w:rFonts w:ascii="Arial" w:eastAsia="Times New Roman" w:hAnsi="Arial" w:cs="Arial"/>
          <w:sz w:val="22"/>
          <w:szCs w:val="22"/>
          <w:lang w:eastAsia="de-DE"/>
        </w:rPr>
        <w:instrText xml:space="preserve"> \* MERGEFORMAT </w:instrText>
      </w:r>
      <w:r w:rsidRPr="00D27121">
        <w:rPr>
          <w:rFonts w:ascii="Arial" w:eastAsia="Times New Roman" w:hAnsi="Arial" w:cs="Arial"/>
          <w:sz w:val="22"/>
          <w:szCs w:val="22"/>
          <w:lang w:eastAsia="de-DE"/>
        </w:rPr>
      </w:r>
      <w:r w:rsidRPr="00D27121">
        <w:rPr>
          <w:rFonts w:ascii="Arial" w:eastAsia="Times New Roman" w:hAnsi="Arial" w:cs="Arial"/>
          <w:sz w:val="22"/>
          <w:szCs w:val="22"/>
          <w:lang w:eastAsia="de-DE"/>
        </w:rPr>
        <w:fldChar w:fldCharType="separate"/>
      </w:r>
      <w:r w:rsidRPr="00D27121">
        <w:rPr>
          <w:rFonts w:ascii="Arial" w:eastAsia="Times New Roman" w:hAnsi="Arial" w:cs="Arial"/>
          <w:sz w:val="22"/>
          <w:szCs w:val="22"/>
          <w:lang w:eastAsia="de-DE"/>
        </w:rPr>
        <w:t>Anhang A</w:t>
      </w:r>
      <w:r w:rsidRPr="00D27121">
        <w:rPr>
          <w:rFonts w:ascii="Arial" w:eastAsia="Times New Roman" w:hAnsi="Arial" w:cs="Arial"/>
          <w:sz w:val="22"/>
          <w:szCs w:val="22"/>
          <w:lang w:eastAsia="de-DE"/>
        </w:rPr>
        <w:fldChar w:fldCharType="end"/>
      </w:r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“Carcinogenic aromatic amines”) are permitted. These dyes are named in the REACH Regulation (1907/2006/EC), Annex XVII, Entry 43.</w:t>
      </w:r>
      <w:bookmarkEnd w:id="2"/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</w:p>
    <w:p w:rsidR="00D27121" w:rsidRPr="00D27121" w:rsidRDefault="00D27121" w:rsidP="00D27121">
      <w:pPr>
        <w:pStyle w:val="AufzhlungBuchstabe"/>
        <w:numPr>
          <w:ilvl w:val="0"/>
          <w:numId w:val="0"/>
        </w:numPr>
        <w:ind w:left="425"/>
        <w:rPr>
          <w:rFonts w:ascii="Arial" w:eastAsia="Times New Roman" w:hAnsi="Arial" w:cs="Arial"/>
          <w:sz w:val="22"/>
          <w:szCs w:val="22"/>
          <w:lang w:eastAsia="de-DE"/>
        </w:rPr>
      </w:pPr>
    </w:p>
    <w:p w:rsidR="00D27121" w:rsidRPr="00D27121" w:rsidRDefault="00D27121" w:rsidP="00D27121">
      <w:pPr>
        <w:pStyle w:val="AufzhlungBuchstabe"/>
        <w:rPr>
          <w:rFonts w:ascii="Arial" w:eastAsia="Times New Roman" w:hAnsi="Arial" w:cs="Arial"/>
          <w:sz w:val="22"/>
          <w:szCs w:val="22"/>
          <w:lang w:eastAsia="de-DE"/>
        </w:rPr>
      </w:pPr>
      <w:bookmarkStart w:id="3" w:name="bookmark6"/>
      <w:bookmarkStart w:id="4" w:name="bookmark5"/>
      <w:bookmarkStart w:id="5" w:name="bookmark0"/>
      <w:bookmarkStart w:id="6" w:name="bookmark1"/>
      <w:bookmarkStart w:id="7" w:name="bookmark2"/>
      <w:bookmarkStart w:id="8" w:name="bookmark3"/>
      <w:bookmarkStart w:id="9" w:name="bookmark4"/>
      <w:bookmarkEnd w:id="3"/>
      <w:bookmarkEnd w:id="4"/>
      <w:bookmarkEnd w:id="5"/>
      <w:bookmarkEnd w:id="6"/>
      <w:bookmarkEnd w:id="7"/>
      <w:bookmarkEnd w:id="8"/>
      <w:bookmarkEnd w:id="9"/>
      <w:r w:rsidRPr="00D27121">
        <w:rPr>
          <w:rFonts w:ascii="Arial" w:eastAsia="Times New Roman" w:hAnsi="Arial" w:cs="Arial"/>
          <w:sz w:val="22"/>
          <w:szCs w:val="22"/>
          <w:lang w:eastAsia="de-DE"/>
        </w:rPr>
        <w:t>Substances classified as carcinogenic, mutagenic or reprotoxic substances in categories 1, 2 and 3 in the currently valid version of TRGS 905</w:t>
      </w:r>
      <w:r w:rsidRPr="00D27121">
        <w:rPr>
          <w:rFonts w:ascii="Arial" w:eastAsia="Times New Roman" w:hAnsi="Arial" w:cs="Arial"/>
          <w:sz w:val="22"/>
          <w:szCs w:val="22"/>
          <w:lang w:eastAsia="de-DE"/>
        </w:rPr>
        <w:footnoteReference w:id="7"/>
      </w:r>
      <w:r w:rsidRPr="00D27121">
        <w:rPr>
          <w:rFonts w:ascii="Arial" w:eastAsia="Times New Roman" w:hAnsi="Arial" w:cs="Arial"/>
          <w:sz w:val="22"/>
          <w:szCs w:val="22"/>
          <w:lang w:eastAsia="de-DE"/>
        </w:rPr>
        <w:t>.</w:t>
      </w:r>
    </w:p>
    <w:p w:rsidR="00D27121" w:rsidRDefault="00D27121" w:rsidP="00D27121"/>
    <w:p w:rsidR="00D27121" w:rsidRDefault="00D27121" w:rsidP="00D27121">
      <w:bookmarkStart w:id="10" w:name="_Hlk56579746"/>
      <w:r>
        <w:t xml:space="preserve">The following exemption to the general exclusion of substances with certain properties applies to dipropylene glycol dibenzoate (CAS 27138-31-4) in hot melt adhesives that are used to indicate wetness. </w:t>
      </w:r>
    </w:p>
    <w:p w:rsidR="00D27121" w:rsidRDefault="00D27121" w:rsidP="00D27121"/>
    <w:p w:rsidR="00D27121" w:rsidRDefault="00D27121" w:rsidP="00D27121">
      <w:pPr>
        <w:pStyle w:val="Standardklein"/>
      </w:pPr>
      <w:r w:rsidRPr="00D27121">
        <w:rPr>
          <w:rFonts w:ascii="Arial" w:eastAsia="Times New Roman" w:hAnsi="Arial" w:cs="Arial"/>
          <w:sz w:val="22"/>
          <w:szCs w:val="22"/>
          <w:lang w:eastAsia="de-DE"/>
        </w:rPr>
        <w:t xml:space="preserve">Table </w:t>
      </w:r>
      <w:r w:rsidRPr="00D27121">
        <w:rPr>
          <w:rFonts w:ascii="Arial" w:eastAsia="Times New Roman" w:hAnsi="Arial" w:cs="Arial"/>
          <w:sz w:val="22"/>
          <w:szCs w:val="22"/>
          <w:lang w:eastAsia="de-DE"/>
        </w:rPr>
        <w:fldChar w:fldCharType="begin"/>
      </w:r>
      <w:r w:rsidRPr="00D27121">
        <w:rPr>
          <w:rFonts w:ascii="Arial" w:eastAsia="Times New Roman" w:hAnsi="Arial" w:cs="Arial"/>
          <w:sz w:val="22"/>
          <w:szCs w:val="22"/>
          <w:lang w:eastAsia="de-DE"/>
        </w:rPr>
        <w:instrText xml:space="preserve"> SEQ Tabelle \* ARABIC </w:instrText>
      </w:r>
      <w:r w:rsidRPr="00D27121">
        <w:rPr>
          <w:rFonts w:ascii="Arial" w:eastAsia="Times New Roman" w:hAnsi="Arial" w:cs="Arial"/>
          <w:sz w:val="22"/>
          <w:szCs w:val="22"/>
          <w:lang w:eastAsia="de-DE"/>
        </w:rPr>
        <w:fldChar w:fldCharType="separate"/>
      </w:r>
      <w:r w:rsidRPr="00D27121">
        <w:rPr>
          <w:rFonts w:ascii="Arial" w:eastAsia="Times New Roman" w:hAnsi="Arial" w:cs="Arial"/>
          <w:sz w:val="22"/>
          <w:szCs w:val="22"/>
          <w:lang w:eastAsia="de-DE"/>
        </w:rPr>
        <w:t>2</w:t>
      </w:r>
      <w:r w:rsidRPr="00D27121">
        <w:rPr>
          <w:rFonts w:ascii="Arial" w:eastAsia="Times New Roman" w:hAnsi="Arial" w:cs="Arial"/>
          <w:sz w:val="22"/>
          <w:szCs w:val="22"/>
          <w:lang w:eastAsia="de-DE"/>
        </w:rPr>
        <w:fldChar w:fldCharType="end"/>
      </w:r>
      <w:r w:rsidRPr="00D27121">
        <w:rPr>
          <w:rFonts w:ascii="Arial" w:eastAsia="Times New Roman" w:hAnsi="Arial" w:cs="Arial"/>
          <w:sz w:val="22"/>
          <w:szCs w:val="22"/>
          <w:lang w:eastAsia="de-DE"/>
        </w:rPr>
        <w:t>: The following substance is exempt from this criterion</w:t>
      </w:r>
    </w:p>
    <w:tbl>
      <w:tblPr>
        <w:tblStyle w:val="TabellefrVergabegrundlage"/>
        <w:tblW w:w="963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395"/>
        <w:gridCol w:w="1134"/>
        <w:gridCol w:w="5101"/>
      </w:tblGrid>
      <w:tr w:rsidR="00D27121" w:rsidTr="00D271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pPr>
              <w:pStyle w:val="Standardfett"/>
              <w:jc w:val="left"/>
              <w:rPr>
                <w:rStyle w:val="StandardfettnurWort"/>
              </w:rPr>
            </w:pPr>
            <w:r>
              <w:rPr>
                <w:rStyle w:val="StandardfettnurWort"/>
              </w:rPr>
              <w:t>Substance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pPr>
              <w:pStyle w:val="Standardfett"/>
              <w:jc w:val="left"/>
              <w:rPr>
                <w:rStyle w:val="StandardfettnurWort"/>
              </w:rPr>
            </w:pPr>
            <w:r>
              <w:rPr>
                <w:rStyle w:val="StandardfettnurWort"/>
              </w:rPr>
              <w:t>H Phrases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pPr>
              <w:pStyle w:val="Standardfett"/>
              <w:jc w:val="left"/>
              <w:rPr>
                <w:rStyle w:val="StandardfettnurWort"/>
              </w:rPr>
            </w:pPr>
            <w:r>
              <w:rPr>
                <w:rStyle w:val="StandardfettnurWort"/>
              </w:rPr>
              <w:t>Wording</w:t>
            </w:r>
          </w:p>
        </w:tc>
      </w:tr>
      <w:tr w:rsidR="00D27121" w:rsidTr="00D27121"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 xml:space="preserve">Dipropylene glycol dibenzoate </w:t>
            </w:r>
            <w:r>
              <w:br/>
              <w:t>(CAS 27138-31-4)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>H412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121" w:rsidRDefault="00D27121">
            <w:r>
              <w:t>Harmful to aquatic organisms with long lasting effects</w:t>
            </w:r>
          </w:p>
        </w:tc>
        <w:bookmarkEnd w:id="10"/>
      </w:tr>
    </w:tbl>
    <w:p w:rsidR="00F22662" w:rsidRPr="0072221A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Pr="00F2266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3E3EF1" w:rsidRDefault="00D2712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Place</w:t>
      </w:r>
      <w:r w:rsidR="003E3EF1">
        <w:rPr>
          <w:sz w:val="22"/>
        </w:rPr>
        <w:t>:</w:t>
      </w:r>
      <w:r w:rsidR="003E3EF1">
        <w:rPr>
          <w:sz w:val="22"/>
        </w:rPr>
        <w:tab/>
      </w:r>
      <w:r w:rsidR="003E3EF1"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11" w:name="Text59"/>
      <w:r w:rsidR="003E3EF1">
        <w:rPr>
          <w:sz w:val="22"/>
        </w:rPr>
        <w:instrText xml:space="preserve"> FORMTEXT </w:instrText>
      </w:r>
      <w:r w:rsidR="003E3EF1">
        <w:rPr>
          <w:sz w:val="22"/>
        </w:rPr>
      </w:r>
      <w:r w:rsidR="003E3EF1">
        <w:rPr>
          <w:sz w:val="22"/>
        </w:rPr>
        <w:fldChar w:fldCharType="separate"/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fldChar w:fldCharType="end"/>
      </w:r>
      <w:bookmarkEnd w:id="11"/>
      <w:r w:rsidR="003E3EF1"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Da</w:t>
      </w:r>
      <w:r w:rsidR="00D27121">
        <w:rPr>
          <w:sz w:val="22"/>
        </w:rPr>
        <w:t>te</w:t>
      </w:r>
      <w:r>
        <w:rPr>
          <w:sz w:val="22"/>
        </w:rPr>
        <w:t>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12" w:name="Text60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12"/>
      <w:r>
        <w:rPr>
          <w:sz w:val="22"/>
        </w:rPr>
        <w:tab/>
      </w:r>
    </w:p>
    <w:p w:rsidR="00D27121" w:rsidRPr="00D27121" w:rsidRDefault="003E3EF1" w:rsidP="00D2712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 w:rsidR="00D27121" w:rsidRPr="00D27121">
        <w:rPr>
          <w:sz w:val="22"/>
        </w:rPr>
        <w:t>(legally binding signature</w:t>
      </w:r>
    </w:p>
    <w:p w:rsidR="003E3EF1" w:rsidRDefault="00D27121" w:rsidP="00D2712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D27121">
        <w:rPr>
          <w:sz w:val="22"/>
        </w:rPr>
        <w:tab/>
      </w:r>
      <w:r w:rsidRPr="00D27121">
        <w:rPr>
          <w:sz w:val="22"/>
        </w:rPr>
        <w:tab/>
        <w:t>and company stamp)</w:t>
      </w:r>
      <w:r w:rsidRPr="00D27121">
        <w:rPr>
          <w:sz w:val="22"/>
        </w:rPr>
        <w:tab/>
      </w:r>
    </w:p>
    <w:sectPr w:rsidR="003E3EF1" w:rsidSect="00515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531" w:right="1276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F92" w:rsidRDefault="00274F92">
      <w:r>
        <w: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  <w:end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Fu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371379" w:rsidP="00E41019">
    <w:pPr>
      <w:pStyle w:val="Fuzeile"/>
    </w:pPr>
    <w:r>
      <w:t xml:space="preserve">08-02-2021 </w:t>
    </w:r>
    <w:r w:rsidR="004A0EB0">
      <w:t>An</w:t>
    </w:r>
    <w:r w:rsidR="00D27121">
      <w:t>nex</w:t>
    </w:r>
    <w:r w:rsidR="004A0EB0">
      <w:t xml:space="preserve"> </w:t>
    </w:r>
    <w:r w:rsidR="00A77CD2">
      <w:t>1</w:t>
    </w:r>
    <w:r w:rsidR="0072221A">
      <w:t>9</w:t>
    </w:r>
    <w:r>
      <w:t xml:space="preserve"> to the contract</w:t>
    </w:r>
    <w:r w:rsidR="00274F92">
      <w:tab/>
    </w:r>
    <w:r w:rsidR="004A0EB0">
      <w:ptab w:relativeTo="margin" w:alignment="center" w:leader="none"/>
    </w:r>
    <w:r w:rsidR="00274F92">
      <w:rPr>
        <w:rStyle w:val="Seitenzahl"/>
      </w:rPr>
      <w:fldChar w:fldCharType="begin"/>
    </w:r>
    <w:r w:rsidR="00274F92">
      <w:rPr>
        <w:rStyle w:val="Seitenzahl"/>
      </w:rPr>
      <w:instrText xml:space="preserve"> PAGE </w:instrText>
    </w:r>
    <w:r w:rsidR="00274F92">
      <w:rPr>
        <w:rStyle w:val="Seitenzahl"/>
      </w:rPr>
      <w:fldChar w:fldCharType="separate"/>
    </w:r>
    <w:r w:rsidR="00C02FB9">
      <w:rPr>
        <w:rStyle w:val="Seitenzahl"/>
        <w:noProof/>
      </w:rPr>
      <w:t>1</w:t>
    </w:r>
    <w:r w:rsidR="00274F92">
      <w:rPr>
        <w:rStyle w:val="Seitenzahl"/>
      </w:rPr>
      <w:fldChar w:fldCharType="end"/>
    </w:r>
    <w:r w:rsidR="00274F92">
      <w:t>/</w:t>
    </w:r>
    <w:r>
      <w:fldChar w:fldCharType="begin"/>
    </w:r>
    <w:r>
      <w:instrText xml:space="preserve"> NUMPAGES   \* MERGEFORMAT </w:instrText>
    </w:r>
    <w:r>
      <w:fldChar w:fldCharType="separate"/>
    </w:r>
    <w:r w:rsidR="00C02FB9">
      <w:rPr>
        <w:noProof/>
      </w:rPr>
      <w:t>2</w:t>
    </w:r>
    <w:r>
      <w:rPr>
        <w:noProof/>
      </w:rPr>
      <w:fldChar w:fldCharType="end"/>
    </w:r>
    <w:r w:rsidR="004A0EB0">
      <w:ptab w:relativeTo="margin" w:alignment="right" w:leader="none"/>
    </w:r>
    <w:r w:rsidR="004A0EB0">
      <w:t>DE</w:t>
    </w:r>
    <w:r w:rsidR="00274F92">
      <w:t>-UZ 20</w:t>
    </w:r>
    <w:r w:rsidR="004A0EB0">
      <w:t xml:space="preserve">8 </w:t>
    </w:r>
    <w:r w:rsidR="00D27121">
      <w:t>Edition</w:t>
    </w:r>
    <w:r w:rsidR="004A0EB0">
      <w:t xml:space="preserve"> Januar</w:t>
    </w:r>
    <w:r w:rsidR="00D27121">
      <w:t>y</w:t>
    </w:r>
    <w:r w:rsidR="004A0EB0">
      <w:t xml:space="preserve"> 20</w:t>
    </w:r>
    <w:r w:rsidR="00F853B1">
      <w:t>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1379" w:rsidRDefault="0037137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F92" w:rsidRDefault="00274F92">
      <w:r>
        <w:separator/>
      </w:r>
    </w:p>
  </w:footnote>
  <w:foot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footnote>
  <w:footnote w:id="1">
    <w:p w:rsidR="00D27121" w:rsidRDefault="00D27121" w:rsidP="00D27121">
      <w:pPr>
        <w:pStyle w:val="Funotentext"/>
        <w:rPr>
          <w:rFonts w:ascii="Verdana" w:eastAsiaTheme="minorEastAsia" w:hAnsi="Verdana" w:cstheme="minorBidi"/>
          <w:szCs w:val="20"/>
          <w:lang w:val="en-GB" w:eastAsia="ja-JP"/>
        </w:rPr>
      </w:pPr>
      <w:r>
        <w:rPr>
          <w:rStyle w:val="Funotenzeichen"/>
          <w:rFonts w:eastAsiaTheme="minorEastAsia"/>
        </w:rPr>
        <w:footnoteRef/>
      </w:r>
      <w:r>
        <w:t xml:space="preserve"> </w:t>
      </w:r>
      <w:r>
        <w:tab/>
      </w:r>
      <w:proofErr w:type="spellStart"/>
      <w:r>
        <w:t>Constituent</w:t>
      </w:r>
      <w:proofErr w:type="spellEnd"/>
      <w:r>
        <w:t xml:space="preserve"> </w:t>
      </w:r>
      <w:proofErr w:type="spellStart"/>
      <w:r>
        <w:t>components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substances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mixtures</w:t>
      </w:r>
      <w:proofErr w:type="spellEnd"/>
      <w:r>
        <w:t xml:space="preserve"> </w:t>
      </w:r>
      <w:proofErr w:type="spellStart"/>
      <w:r>
        <w:t>added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product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intermediate </w:t>
      </w:r>
      <w:proofErr w:type="spellStart"/>
      <w:r>
        <w:t>product</w:t>
      </w:r>
      <w:proofErr w:type="spellEnd"/>
      <w:r>
        <w:t xml:space="preserve"> and </w:t>
      </w:r>
      <w:proofErr w:type="spellStart"/>
      <w:r>
        <w:t>remain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unchanged</w:t>
      </w:r>
      <w:proofErr w:type="spellEnd"/>
      <w:r>
        <w:t xml:space="preserve"> in </w:t>
      </w:r>
      <w:proofErr w:type="spellStart"/>
      <w:r>
        <w:t>order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achieve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influence</w:t>
      </w:r>
      <w:proofErr w:type="spellEnd"/>
      <w:r>
        <w:t xml:space="preserve"> </w:t>
      </w:r>
      <w:proofErr w:type="spellStart"/>
      <w:r>
        <w:t>certain</w:t>
      </w:r>
      <w:proofErr w:type="spellEnd"/>
      <w:r>
        <w:t xml:space="preserve"> </w:t>
      </w:r>
      <w:proofErr w:type="spellStart"/>
      <w:r>
        <w:t>product</w:t>
      </w:r>
      <w:proofErr w:type="spellEnd"/>
      <w:r>
        <w:t xml:space="preserve"> </w:t>
      </w:r>
      <w:proofErr w:type="spellStart"/>
      <w:r>
        <w:t>properties</w:t>
      </w:r>
      <w:proofErr w:type="spellEnd"/>
      <w:r>
        <w:t xml:space="preserve"> and </w:t>
      </w:r>
      <w:proofErr w:type="spellStart"/>
      <w:r>
        <w:t>those</w:t>
      </w:r>
      <w:proofErr w:type="spellEnd"/>
      <w:r>
        <w:t xml:space="preserve"> </w:t>
      </w:r>
      <w:proofErr w:type="spellStart"/>
      <w:r>
        <w:t>required</w:t>
      </w:r>
      <w:proofErr w:type="spellEnd"/>
      <w:r>
        <w:t xml:space="preserve"> </w:t>
      </w:r>
      <w:proofErr w:type="spellStart"/>
      <w:r>
        <w:t>as</w:t>
      </w:r>
      <w:proofErr w:type="spellEnd"/>
      <w:r>
        <w:t xml:space="preserve"> </w:t>
      </w:r>
      <w:proofErr w:type="spellStart"/>
      <w:r>
        <w:t>chemical</w:t>
      </w:r>
      <w:proofErr w:type="spellEnd"/>
      <w:r>
        <w:t xml:space="preserve"> </w:t>
      </w:r>
      <w:proofErr w:type="spellStart"/>
      <w:r>
        <w:t>cleavage</w:t>
      </w:r>
      <w:proofErr w:type="spellEnd"/>
      <w:r>
        <w:t xml:space="preserve"> </w:t>
      </w:r>
      <w:proofErr w:type="spellStart"/>
      <w:r>
        <w:t>products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achieving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product</w:t>
      </w:r>
      <w:proofErr w:type="spellEnd"/>
      <w:r>
        <w:t xml:space="preserve"> </w:t>
      </w:r>
      <w:proofErr w:type="spellStart"/>
      <w:r>
        <w:t>properties</w:t>
      </w:r>
      <w:proofErr w:type="spellEnd"/>
      <w:r>
        <w:t xml:space="preserve">. This </w:t>
      </w:r>
      <w:proofErr w:type="spellStart"/>
      <w:r>
        <w:t>does</w:t>
      </w:r>
      <w:proofErr w:type="spellEnd"/>
      <w:r>
        <w:t xml:space="preserve"> not </w:t>
      </w:r>
      <w:proofErr w:type="spellStart"/>
      <w:r>
        <w:t>include</w:t>
      </w:r>
      <w:proofErr w:type="spellEnd"/>
      <w:r>
        <w:t xml:space="preserve">,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example</w:t>
      </w:r>
      <w:proofErr w:type="spellEnd"/>
      <w:r>
        <w:t xml:space="preserve">, residual </w:t>
      </w:r>
      <w:proofErr w:type="spellStart"/>
      <w:r>
        <w:t>monomers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reduced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 </w:t>
      </w:r>
      <w:proofErr w:type="spellStart"/>
      <w:r>
        <w:t>minimum</w:t>
      </w:r>
      <w:proofErr w:type="spellEnd"/>
      <w:r>
        <w:t xml:space="preserve"> and </w:t>
      </w:r>
      <w:proofErr w:type="spellStart"/>
      <w:r>
        <w:t>unavoidable</w:t>
      </w:r>
      <w:proofErr w:type="spellEnd"/>
      <w:r>
        <w:t xml:space="preserve"> </w:t>
      </w:r>
      <w:proofErr w:type="spellStart"/>
      <w:r>
        <w:t>impurities</w:t>
      </w:r>
      <w:proofErr w:type="spellEnd"/>
      <w:r>
        <w:t xml:space="preserve">. </w:t>
      </w:r>
      <w:proofErr w:type="spellStart"/>
      <w:r>
        <w:t>If</w:t>
      </w:r>
      <w:proofErr w:type="spellEnd"/>
      <w:r>
        <w:t xml:space="preserve"> </w:t>
      </w:r>
      <w:proofErr w:type="spellStart"/>
      <w:r>
        <w:t>necessary</w:t>
      </w:r>
      <w:proofErr w:type="spellEnd"/>
      <w:r>
        <w:t xml:space="preserve">, </w:t>
      </w:r>
      <w:proofErr w:type="spellStart"/>
      <w:r>
        <w:t>these</w:t>
      </w:r>
      <w:proofErr w:type="spellEnd"/>
      <w:r>
        <w:t xml:space="preserve"> </w:t>
      </w:r>
      <w:proofErr w:type="spellStart"/>
      <w:r>
        <w:t>substances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</w:t>
      </w:r>
      <w:proofErr w:type="spellStart"/>
      <w:r>
        <w:t>covered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own </w:t>
      </w:r>
      <w:proofErr w:type="spellStart"/>
      <w:r>
        <w:t>requirements</w:t>
      </w:r>
      <w:proofErr w:type="spellEnd"/>
      <w:r>
        <w:t>.</w:t>
      </w:r>
    </w:p>
  </w:footnote>
  <w:footnote w:id="2">
    <w:p w:rsidR="00D27121" w:rsidRDefault="00D27121" w:rsidP="00D27121">
      <w:pPr>
        <w:pStyle w:val="Funotentext"/>
      </w:pPr>
      <w:r>
        <w:rPr>
          <w:rStyle w:val="Funotenzeichen"/>
          <w:rFonts w:eastAsiaTheme="minorEastAsia"/>
        </w:rPr>
        <w:footnoteRef/>
      </w:r>
      <w:r>
        <w:rPr>
          <w:rStyle w:val="Funotenzeichen"/>
          <w:rFonts w:eastAsiaTheme="minorEastAsia"/>
        </w:rPr>
        <w:t xml:space="preserve"> </w:t>
      </w:r>
      <w:r>
        <w:tab/>
        <w:t xml:space="preserve">This </w:t>
      </w:r>
      <w:proofErr w:type="spellStart"/>
      <w:r>
        <w:t>does</w:t>
      </w:r>
      <w:proofErr w:type="spellEnd"/>
      <w:r>
        <w:t xml:space="preserve"> not </w:t>
      </w:r>
      <w:proofErr w:type="spellStart"/>
      <w:r>
        <w:t>include</w:t>
      </w:r>
      <w:proofErr w:type="spellEnd"/>
      <w:r>
        <w:t xml:space="preserve"> </w:t>
      </w:r>
      <w:proofErr w:type="spellStart"/>
      <w:r>
        <w:t>process</w:t>
      </w:r>
      <w:proofErr w:type="spellEnd"/>
      <w:r>
        <w:t xml:space="preserve"> </w:t>
      </w:r>
      <w:proofErr w:type="spellStart"/>
      <w:r>
        <w:t>chemicals</w:t>
      </w:r>
      <w:proofErr w:type="spellEnd"/>
      <w:r>
        <w:t xml:space="preserve">. The </w:t>
      </w:r>
      <w:proofErr w:type="spellStart"/>
      <w:r>
        <w:t>dimethylacetamide</w:t>
      </w:r>
      <w:proofErr w:type="spellEnd"/>
      <w:r>
        <w:t xml:space="preserve"> (</w:t>
      </w:r>
      <w:proofErr w:type="spellStart"/>
      <w:r>
        <w:t>DMAc</w:t>
      </w:r>
      <w:proofErr w:type="spellEnd"/>
      <w:r>
        <w:t xml:space="preserve">) </w:t>
      </w:r>
      <w:proofErr w:type="spellStart"/>
      <w:r>
        <w:t>used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production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elastic</w:t>
      </w:r>
      <w:proofErr w:type="spellEnd"/>
      <w:r>
        <w:t xml:space="preserve"> </w:t>
      </w:r>
      <w:proofErr w:type="spellStart"/>
      <w:r>
        <w:t>fibres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considered</w:t>
      </w:r>
      <w:proofErr w:type="spellEnd"/>
      <w:r>
        <w:t xml:space="preserve"> a </w:t>
      </w:r>
      <w:proofErr w:type="spellStart"/>
      <w:r>
        <w:t>process</w:t>
      </w:r>
      <w:proofErr w:type="spellEnd"/>
      <w:r>
        <w:t xml:space="preserve"> </w:t>
      </w:r>
      <w:proofErr w:type="spellStart"/>
      <w:r>
        <w:t>chemical</w:t>
      </w:r>
      <w:proofErr w:type="spellEnd"/>
      <w:r>
        <w:t>.</w:t>
      </w:r>
    </w:p>
  </w:footnote>
  <w:footnote w:id="3">
    <w:p w:rsidR="00D27121" w:rsidRDefault="00D27121" w:rsidP="00D27121">
      <w:pPr>
        <w:pStyle w:val="Funotentext"/>
      </w:pPr>
      <w:r>
        <w:rPr>
          <w:rStyle w:val="Funotenzeichen"/>
          <w:rFonts w:eastAsiaTheme="minorEastAsia"/>
        </w:rPr>
        <w:footnoteRef/>
      </w:r>
      <w:r>
        <w:t xml:space="preserve"> </w:t>
      </w:r>
      <w:r>
        <w:tab/>
        <w:t xml:space="preserve">The </w:t>
      </w:r>
      <w:proofErr w:type="spellStart"/>
      <w:r>
        <w:t>list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candidates</w:t>
      </w:r>
      <w:proofErr w:type="spellEnd"/>
      <w:r>
        <w:t xml:space="preserve"> in </w:t>
      </w:r>
      <w:proofErr w:type="spellStart"/>
      <w:r>
        <w:t>its</w:t>
      </w:r>
      <w:proofErr w:type="spellEnd"/>
      <w:r>
        <w:t xml:space="preserve"> </w:t>
      </w:r>
      <w:proofErr w:type="spellStart"/>
      <w:r>
        <w:t>currently</w:t>
      </w:r>
      <w:proofErr w:type="spellEnd"/>
      <w:r>
        <w:t xml:space="preserve"> valid </w:t>
      </w:r>
      <w:proofErr w:type="spellStart"/>
      <w:r>
        <w:t>version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found</w:t>
      </w:r>
      <w:proofErr w:type="spellEnd"/>
      <w:r>
        <w:t xml:space="preserve"> at:</w:t>
      </w:r>
      <w:r>
        <w:tab/>
        <w:t xml:space="preserve"> </w:t>
      </w:r>
      <w:hyperlink r:id="rId1" w:history="1">
        <w:r>
          <w:rPr>
            <w:rStyle w:val="Hyperlink"/>
          </w:rPr>
          <w:t>http://echa.europa.eu/web/guest/candidate-list-table</w:t>
        </w:r>
      </w:hyperlink>
    </w:p>
  </w:footnote>
  <w:footnote w:id="4">
    <w:p w:rsidR="00D27121" w:rsidRDefault="00D27121" w:rsidP="00D27121">
      <w:pPr>
        <w:pStyle w:val="Funotentext"/>
      </w:pPr>
      <w:r>
        <w:rPr>
          <w:rStyle w:val="Funotenzeichen"/>
          <w:rFonts w:eastAsiaTheme="minorEastAsia"/>
        </w:rPr>
        <w:footnoteRef/>
      </w:r>
      <w:r>
        <w:t xml:space="preserve"> </w:t>
      </w:r>
      <w:r>
        <w:tab/>
        <w:t xml:space="preserve">Regulation (EC) </w:t>
      </w:r>
      <w:proofErr w:type="spellStart"/>
      <w:r>
        <w:t>No</w:t>
      </w:r>
      <w:proofErr w:type="spellEnd"/>
      <w:r>
        <w:t xml:space="preserve">. 1272/2008 on </w:t>
      </w:r>
      <w:proofErr w:type="spellStart"/>
      <w:r>
        <w:t>classification</w:t>
      </w:r>
      <w:proofErr w:type="spellEnd"/>
      <w:r>
        <w:t xml:space="preserve">, </w:t>
      </w:r>
      <w:proofErr w:type="spellStart"/>
      <w:r>
        <w:t>labelling</w:t>
      </w:r>
      <w:proofErr w:type="spellEnd"/>
      <w:r>
        <w:t xml:space="preserve"> and </w:t>
      </w:r>
      <w:proofErr w:type="spellStart"/>
      <w:r>
        <w:t>packaging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substances</w:t>
      </w:r>
      <w:proofErr w:type="spellEnd"/>
      <w:r>
        <w:t xml:space="preserve"> and </w:t>
      </w:r>
      <w:proofErr w:type="spellStart"/>
      <w:r>
        <w:t>mixtures</w:t>
      </w:r>
      <w:proofErr w:type="spellEnd"/>
      <w:r>
        <w:t xml:space="preserve">. </w:t>
      </w:r>
    </w:p>
  </w:footnote>
  <w:footnote w:id="5">
    <w:p w:rsidR="00D27121" w:rsidRDefault="00D27121" w:rsidP="00D27121">
      <w:pPr>
        <w:pStyle w:val="Funotentext"/>
      </w:pPr>
      <w:r>
        <w:rPr>
          <w:rStyle w:val="Funotenzeichen"/>
          <w:rFonts w:eastAsiaTheme="minorEastAsia"/>
        </w:rPr>
        <w:footnoteRef/>
      </w:r>
      <w:r>
        <w:t xml:space="preserve"> </w:t>
      </w:r>
      <w:r>
        <w:tab/>
        <w:t xml:space="preserve">The </w:t>
      </w:r>
      <w:proofErr w:type="spellStart"/>
      <w:r>
        <w:t>harmonized</w:t>
      </w:r>
      <w:proofErr w:type="spellEnd"/>
      <w:r>
        <w:t xml:space="preserve"> </w:t>
      </w:r>
      <w:proofErr w:type="spellStart"/>
      <w:r>
        <w:t>classifications</w:t>
      </w:r>
      <w:proofErr w:type="spellEnd"/>
      <w:r>
        <w:t xml:space="preserve"> and </w:t>
      </w:r>
      <w:proofErr w:type="spellStart"/>
      <w:r>
        <w:t>labellings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dangerous</w:t>
      </w:r>
      <w:proofErr w:type="spellEnd"/>
      <w:r>
        <w:t xml:space="preserve"> </w:t>
      </w:r>
      <w:proofErr w:type="spellStart"/>
      <w:r>
        <w:t>substances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be</w:t>
      </w:r>
      <w:proofErr w:type="spellEnd"/>
      <w:r>
        <w:t xml:space="preserve"> </w:t>
      </w:r>
      <w:proofErr w:type="spellStart"/>
      <w:r>
        <w:t>found</w:t>
      </w:r>
      <w:proofErr w:type="spellEnd"/>
      <w:r>
        <w:t xml:space="preserve"> in Annex VI, Part 3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CLP Regulation. </w:t>
      </w:r>
      <w:proofErr w:type="spellStart"/>
      <w:r>
        <w:t>Furthermore</w:t>
      </w:r>
      <w:proofErr w:type="spellEnd"/>
      <w:r>
        <w:t xml:space="preserve">, a </w:t>
      </w:r>
      <w:proofErr w:type="spellStart"/>
      <w:r>
        <w:t>comprehensive</w:t>
      </w:r>
      <w:proofErr w:type="spellEnd"/>
      <w:r>
        <w:t xml:space="preserve"> </w:t>
      </w:r>
      <w:proofErr w:type="spellStart"/>
      <w:r>
        <w:t>classification</w:t>
      </w:r>
      <w:proofErr w:type="spellEnd"/>
      <w:r>
        <w:t xml:space="preserve"> and </w:t>
      </w:r>
      <w:proofErr w:type="spellStart"/>
      <w:r>
        <w:t>labelling</w:t>
      </w:r>
      <w:proofErr w:type="spellEnd"/>
      <w:r>
        <w:t xml:space="preserve"> </w:t>
      </w:r>
      <w:proofErr w:type="spellStart"/>
      <w:r>
        <w:t>inventory</w:t>
      </w:r>
      <w:proofErr w:type="spellEnd"/>
      <w:r>
        <w:t xml:space="preserve">, </w:t>
      </w:r>
      <w:proofErr w:type="spellStart"/>
      <w:r>
        <w:t>which</w:t>
      </w:r>
      <w:proofErr w:type="spellEnd"/>
      <w:r>
        <w:t xml:space="preserve"> also </w:t>
      </w:r>
      <w:proofErr w:type="spellStart"/>
      <w:r>
        <w:t>includes</w:t>
      </w:r>
      <w:proofErr w:type="spellEnd"/>
      <w:r>
        <w:t xml:space="preserve"> all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self-classifications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hazardous</w:t>
      </w:r>
      <w:proofErr w:type="spellEnd"/>
      <w:r>
        <w:t xml:space="preserve"> </w:t>
      </w:r>
      <w:proofErr w:type="spellStart"/>
      <w:r>
        <w:t>substances</w:t>
      </w:r>
      <w:proofErr w:type="spellEnd"/>
      <w:r>
        <w:t xml:space="preserve"> </w:t>
      </w:r>
      <w:proofErr w:type="spellStart"/>
      <w:r>
        <w:t>made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manufacturers</w:t>
      </w:r>
      <w:proofErr w:type="spellEnd"/>
      <w:r>
        <w:t xml:space="preserve">, </w:t>
      </w:r>
      <w:proofErr w:type="spellStart"/>
      <w:r>
        <w:t>has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made</w:t>
      </w:r>
      <w:proofErr w:type="spellEnd"/>
      <w:r>
        <w:t xml:space="preserve"> </w:t>
      </w:r>
      <w:proofErr w:type="spellStart"/>
      <w:r>
        <w:t>available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public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website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European Chemicals Agency: </w:t>
      </w:r>
      <w:hyperlink r:id="rId2" w:history="1">
        <w:r>
          <w:rPr>
            <w:rStyle w:val="Hyperlink"/>
          </w:rPr>
          <w:t xml:space="preserve">ECHA </w:t>
        </w:r>
        <w:proofErr w:type="spellStart"/>
        <w:r>
          <w:rPr>
            <w:rStyle w:val="Hyperlink"/>
          </w:rPr>
          <w:t>classification</w:t>
        </w:r>
        <w:proofErr w:type="spellEnd"/>
        <w:r>
          <w:rPr>
            <w:rStyle w:val="Hyperlink"/>
          </w:rPr>
          <w:t xml:space="preserve"> and </w:t>
        </w:r>
        <w:proofErr w:type="spellStart"/>
        <w:r>
          <w:rPr>
            <w:rStyle w:val="Hyperlink"/>
          </w:rPr>
          <w:t>labelling</w:t>
        </w:r>
        <w:proofErr w:type="spellEnd"/>
        <w:r>
          <w:rPr>
            <w:rStyle w:val="Hyperlink"/>
          </w:rPr>
          <w:t xml:space="preserve"> </w:t>
        </w:r>
        <w:proofErr w:type="spellStart"/>
        <w:r>
          <w:rPr>
            <w:rStyle w:val="Hyperlink"/>
          </w:rPr>
          <w:t>inventory</w:t>
        </w:r>
        <w:proofErr w:type="spellEnd"/>
        <w:r>
          <w:rPr>
            <w:rStyle w:val="Hyperlink"/>
          </w:rPr>
          <w:t>.</w:t>
        </w:r>
      </w:hyperlink>
    </w:p>
  </w:footnote>
  <w:footnote w:id="6">
    <w:p w:rsidR="00D27121" w:rsidRDefault="00D27121" w:rsidP="00D27121">
      <w:pPr>
        <w:pStyle w:val="Funotentext"/>
      </w:pPr>
      <w:r>
        <w:rPr>
          <w:rStyle w:val="Funotenzeichen"/>
          <w:rFonts w:eastAsiaTheme="minorEastAsia"/>
        </w:rPr>
        <w:footnoteRef/>
      </w:r>
      <w:r>
        <w:t xml:space="preserve"> </w:t>
      </w:r>
      <w:r>
        <w:tab/>
        <w:t xml:space="preserve">An </w:t>
      </w:r>
      <w:proofErr w:type="spellStart"/>
      <w:r>
        <w:t>exception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made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titanium</w:t>
      </w:r>
      <w:proofErr w:type="spellEnd"/>
      <w:r>
        <w:t xml:space="preserve"> </w:t>
      </w:r>
      <w:proofErr w:type="spellStart"/>
      <w:r>
        <w:t>dioxide</w:t>
      </w:r>
      <w:proofErr w:type="spellEnd"/>
      <w:r>
        <w:t xml:space="preserve"> </w:t>
      </w:r>
      <w:proofErr w:type="spellStart"/>
      <w:r>
        <w:t>because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classification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only</w:t>
      </w:r>
      <w:proofErr w:type="spellEnd"/>
      <w:r>
        <w:t xml:space="preserve"> </w:t>
      </w:r>
      <w:proofErr w:type="spellStart"/>
      <w:r>
        <w:t>based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respirable </w:t>
      </w:r>
      <w:proofErr w:type="spellStart"/>
      <w:r>
        <w:t>dust</w:t>
      </w:r>
      <w:proofErr w:type="spellEnd"/>
      <w:r>
        <w:t>.</w:t>
      </w:r>
    </w:p>
  </w:footnote>
  <w:footnote w:id="7">
    <w:p w:rsidR="00D27121" w:rsidRDefault="00D27121" w:rsidP="00D27121">
      <w:pPr>
        <w:pStyle w:val="Funotentext"/>
      </w:pPr>
      <w:r>
        <w:rPr>
          <w:rStyle w:val="Funotenzeichen"/>
          <w:rFonts w:eastAsiaTheme="minorEastAsia"/>
        </w:rPr>
        <w:footnoteRef/>
      </w:r>
      <w:r>
        <w:t xml:space="preserve"> </w:t>
      </w:r>
      <w:r>
        <w:tab/>
      </w:r>
      <w:hyperlink r:id="rId3" w:history="1">
        <w:r>
          <w:rPr>
            <w:rStyle w:val="Hyperlink"/>
          </w:rPr>
          <w:t>TRGS 905</w:t>
        </w:r>
      </w:hyperlink>
      <w:r>
        <w:t xml:space="preserve">, Directory </w:t>
      </w:r>
      <w:proofErr w:type="spellStart"/>
      <w:r>
        <w:t>of</w:t>
      </w:r>
      <w:proofErr w:type="spellEnd"/>
      <w:r>
        <w:t xml:space="preserve"> </w:t>
      </w:r>
      <w:proofErr w:type="spellStart"/>
      <w:r>
        <w:t>carcinogenic</w:t>
      </w:r>
      <w:proofErr w:type="spellEnd"/>
      <w:r>
        <w:t xml:space="preserve">, </w:t>
      </w:r>
      <w:proofErr w:type="spellStart"/>
      <w:r>
        <w:t>mutagenic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teratogenic</w:t>
      </w:r>
      <w:proofErr w:type="spellEnd"/>
      <w:r>
        <w:t xml:space="preserve"> </w:t>
      </w:r>
      <w:proofErr w:type="spellStart"/>
      <w:r>
        <w:t>substances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Committee </w:t>
      </w:r>
      <w:proofErr w:type="spellStart"/>
      <w:r>
        <w:t>for</w:t>
      </w:r>
      <w:proofErr w:type="spellEnd"/>
      <w:r>
        <w:t xml:space="preserve"> </w:t>
      </w:r>
      <w:proofErr w:type="spellStart"/>
      <w:r>
        <w:t>Hazardous</w:t>
      </w:r>
      <w:proofErr w:type="spellEnd"/>
      <w:r>
        <w:t xml:space="preserve"> </w:t>
      </w:r>
      <w:proofErr w:type="spellStart"/>
      <w:r>
        <w:t>Substances</w:t>
      </w:r>
      <w:proofErr w:type="spellEnd"/>
      <w:r>
        <w:t xml:space="preserve"> (AGS). The </w:t>
      </w:r>
      <w:proofErr w:type="spellStart"/>
      <w:r>
        <w:t>current</w:t>
      </w:r>
      <w:proofErr w:type="spellEnd"/>
      <w:r>
        <w:t xml:space="preserve"> </w:t>
      </w:r>
      <w:proofErr w:type="spellStart"/>
      <w:r>
        <w:t>version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time </w:t>
      </w:r>
      <w:proofErr w:type="spellStart"/>
      <w:r>
        <w:t>of</w:t>
      </w:r>
      <w:proofErr w:type="spellEnd"/>
      <w:r>
        <w:t xml:space="preserve"> </w:t>
      </w:r>
      <w:proofErr w:type="spellStart"/>
      <w:r>
        <w:t>application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valid. The TRGS </w:t>
      </w:r>
      <w:proofErr w:type="spellStart"/>
      <w:r>
        <w:t>lists</w:t>
      </w:r>
      <w:proofErr w:type="spellEnd"/>
      <w:r>
        <w:t xml:space="preserve"> such CMR </w:t>
      </w:r>
      <w:proofErr w:type="spellStart"/>
      <w:r>
        <w:t>substances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not </w:t>
      </w:r>
      <w:proofErr w:type="spellStart"/>
      <w:r>
        <w:t>received</w:t>
      </w:r>
      <w:proofErr w:type="spellEnd"/>
      <w:r>
        <w:t xml:space="preserve"> </w:t>
      </w:r>
      <w:proofErr w:type="spellStart"/>
      <w:r>
        <w:t>harmonised</w:t>
      </w:r>
      <w:proofErr w:type="spellEnd"/>
      <w:r>
        <w:t xml:space="preserve"> </w:t>
      </w:r>
      <w:proofErr w:type="spellStart"/>
      <w:r>
        <w:t>classifications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now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AGS </w:t>
      </w:r>
      <w:proofErr w:type="spellStart"/>
      <w:r>
        <w:t>has</w:t>
      </w:r>
      <w:proofErr w:type="spellEnd"/>
      <w:r>
        <w:t xml:space="preserve"> </w:t>
      </w:r>
      <w:proofErr w:type="spellStart"/>
      <w:r>
        <w:t>come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a different </w:t>
      </w:r>
      <w:proofErr w:type="spellStart"/>
      <w:r>
        <w:t>classification</w:t>
      </w:r>
      <w:proofErr w:type="spellEnd"/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Kopf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 w:rsidP="00C83B8A">
    <w:pPr>
      <w:pStyle w:val="Kopfzeile"/>
      <w:jc w:val="right"/>
    </w:pPr>
    <w:r>
      <w:rPr>
        <w:noProof/>
      </w:rPr>
      <w:drawing>
        <wp:inline distT="0" distB="0" distL="0" distR="0" wp14:anchorId="3B9E5A45" wp14:editId="44F9D245">
          <wp:extent cx="885825" cy="618069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8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4F92" w:rsidRDefault="00274F92" w:rsidP="00C83B8A">
    <w:pPr>
      <w:pStyle w:val="Kopfzeile"/>
      <w:jc w:val="right"/>
    </w:pPr>
  </w:p>
  <w:p w:rsidR="00274F92" w:rsidRDefault="00274F92" w:rsidP="0057454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1379" w:rsidRDefault="0037137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0346"/>
        </w:tabs>
        <w:ind w:left="10346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0D187B"/>
    <w:multiLevelType w:val="hybridMultilevel"/>
    <w:tmpl w:val="D958BE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7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77EEB"/>
    <w:multiLevelType w:val="hybridMultilevel"/>
    <w:tmpl w:val="90CEAE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6A704E"/>
    <w:multiLevelType w:val="hybridMultilevel"/>
    <w:tmpl w:val="E09C70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11" w15:restartNumberingAfterBreak="0">
    <w:nsid w:val="22A66580"/>
    <w:multiLevelType w:val="hybridMultilevel"/>
    <w:tmpl w:val="A5A4FC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E959C8"/>
    <w:multiLevelType w:val="hybridMultilevel"/>
    <w:tmpl w:val="4BF8C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12CE6"/>
    <w:multiLevelType w:val="hybridMultilevel"/>
    <w:tmpl w:val="1276A9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10A06"/>
    <w:multiLevelType w:val="hybridMultilevel"/>
    <w:tmpl w:val="87121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3B54E0"/>
    <w:multiLevelType w:val="hybridMultilevel"/>
    <w:tmpl w:val="B0F4FDDA"/>
    <w:lvl w:ilvl="0" w:tplc="2EC82E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DD1F5B"/>
    <w:multiLevelType w:val="hybridMultilevel"/>
    <w:tmpl w:val="4F6405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0CE62E2"/>
    <w:multiLevelType w:val="hybridMultilevel"/>
    <w:tmpl w:val="603C61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572F3B"/>
    <w:multiLevelType w:val="hybridMultilevel"/>
    <w:tmpl w:val="5DB8BBC2"/>
    <w:lvl w:ilvl="0" w:tplc="74729CE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086596"/>
    <w:multiLevelType w:val="hybridMultilevel"/>
    <w:tmpl w:val="CDD047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6"/>
  </w:num>
  <w:num w:numId="4">
    <w:abstractNumId w:val="1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5"/>
  </w:num>
  <w:num w:numId="11">
    <w:abstractNumId w:val="20"/>
  </w:num>
  <w:num w:numId="12">
    <w:abstractNumId w:val="5"/>
  </w:num>
  <w:num w:numId="13">
    <w:abstractNumId w:val="16"/>
  </w:num>
  <w:num w:numId="14">
    <w:abstractNumId w:val="21"/>
  </w:num>
  <w:num w:numId="15">
    <w:abstractNumId w:val="12"/>
  </w:num>
  <w:num w:numId="16">
    <w:abstractNumId w:val="13"/>
  </w:num>
  <w:num w:numId="17">
    <w:abstractNumId w:val="19"/>
  </w:num>
  <w:num w:numId="18">
    <w:abstractNumId w:val="11"/>
  </w:num>
  <w:num w:numId="19">
    <w:abstractNumId w:val="8"/>
  </w:num>
  <w:num w:numId="20">
    <w:abstractNumId w:val="22"/>
  </w:num>
  <w:num w:numId="21">
    <w:abstractNumId w:val="17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2iIY9Qpf8xiQTKwDMaeCBqY76ZwG5Ep5dqvEijyDSUXTByvWUpJx4gxeczzWtFcqZU3eOKvnPSEJpTl9XezBA==" w:salt="1oZPBhIWL0hNT6MKSP8YJw==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559F"/>
    <w:rsid w:val="00006F5D"/>
    <w:rsid w:val="00010638"/>
    <w:rsid w:val="0001304D"/>
    <w:rsid w:val="000132C8"/>
    <w:rsid w:val="00016B19"/>
    <w:rsid w:val="00017B60"/>
    <w:rsid w:val="0002001B"/>
    <w:rsid w:val="00021125"/>
    <w:rsid w:val="00023B55"/>
    <w:rsid w:val="00023FFD"/>
    <w:rsid w:val="00024631"/>
    <w:rsid w:val="00024D2A"/>
    <w:rsid w:val="000322DC"/>
    <w:rsid w:val="000336E5"/>
    <w:rsid w:val="000337EB"/>
    <w:rsid w:val="000349B9"/>
    <w:rsid w:val="000352CA"/>
    <w:rsid w:val="000407FF"/>
    <w:rsid w:val="00040881"/>
    <w:rsid w:val="0004223E"/>
    <w:rsid w:val="0004315D"/>
    <w:rsid w:val="00047575"/>
    <w:rsid w:val="00051146"/>
    <w:rsid w:val="0005602D"/>
    <w:rsid w:val="0005611B"/>
    <w:rsid w:val="000570B4"/>
    <w:rsid w:val="00057A7E"/>
    <w:rsid w:val="00060160"/>
    <w:rsid w:val="00060221"/>
    <w:rsid w:val="00060876"/>
    <w:rsid w:val="00063962"/>
    <w:rsid w:val="0006627D"/>
    <w:rsid w:val="0007395D"/>
    <w:rsid w:val="00075311"/>
    <w:rsid w:val="00077406"/>
    <w:rsid w:val="000815AE"/>
    <w:rsid w:val="00081750"/>
    <w:rsid w:val="00086EE7"/>
    <w:rsid w:val="000901DC"/>
    <w:rsid w:val="00091EF2"/>
    <w:rsid w:val="00092B9D"/>
    <w:rsid w:val="00093BFD"/>
    <w:rsid w:val="00095ED0"/>
    <w:rsid w:val="00096F7C"/>
    <w:rsid w:val="000A35CC"/>
    <w:rsid w:val="000A4915"/>
    <w:rsid w:val="000A5108"/>
    <w:rsid w:val="000B0928"/>
    <w:rsid w:val="000B2483"/>
    <w:rsid w:val="000B33B5"/>
    <w:rsid w:val="000B5DDF"/>
    <w:rsid w:val="000B62A3"/>
    <w:rsid w:val="000C4C8C"/>
    <w:rsid w:val="000C4D12"/>
    <w:rsid w:val="000D104C"/>
    <w:rsid w:val="000D3A49"/>
    <w:rsid w:val="000D756B"/>
    <w:rsid w:val="000D7FCC"/>
    <w:rsid w:val="000E0FF2"/>
    <w:rsid w:val="000E27AE"/>
    <w:rsid w:val="000E3FF9"/>
    <w:rsid w:val="000E5FCB"/>
    <w:rsid w:val="000E60D8"/>
    <w:rsid w:val="000F076C"/>
    <w:rsid w:val="000F1DDC"/>
    <w:rsid w:val="000F2ED8"/>
    <w:rsid w:val="000F73A0"/>
    <w:rsid w:val="000F7971"/>
    <w:rsid w:val="00102688"/>
    <w:rsid w:val="00103C8E"/>
    <w:rsid w:val="00105E39"/>
    <w:rsid w:val="00106B61"/>
    <w:rsid w:val="00107296"/>
    <w:rsid w:val="001102A9"/>
    <w:rsid w:val="00110406"/>
    <w:rsid w:val="00111059"/>
    <w:rsid w:val="0011107A"/>
    <w:rsid w:val="00111295"/>
    <w:rsid w:val="0011237F"/>
    <w:rsid w:val="0011274A"/>
    <w:rsid w:val="001132C0"/>
    <w:rsid w:val="00116BEA"/>
    <w:rsid w:val="00117228"/>
    <w:rsid w:val="00117BE5"/>
    <w:rsid w:val="00120952"/>
    <w:rsid w:val="00122B8C"/>
    <w:rsid w:val="00123116"/>
    <w:rsid w:val="00124EE5"/>
    <w:rsid w:val="00125A24"/>
    <w:rsid w:val="00127145"/>
    <w:rsid w:val="00135190"/>
    <w:rsid w:val="0013591F"/>
    <w:rsid w:val="00135AAD"/>
    <w:rsid w:val="00137532"/>
    <w:rsid w:val="00137F85"/>
    <w:rsid w:val="00141CBE"/>
    <w:rsid w:val="0014654A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0726"/>
    <w:rsid w:val="001931F3"/>
    <w:rsid w:val="001936B6"/>
    <w:rsid w:val="00193DDD"/>
    <w:rsid w:val="00195911"/>
    <w:rsid w:val="00195D6C"/>
    <w:rsid w:val="001A3053"/>
    <w:rsid w:val="001A4373"/>
    <w:rsid w:val="001A4A7E"/>
    <w:rsid w:val="001B1B87"/>
    <w:rsid w:val="001B22C2"/>
    <w:rsid w:val="001B280C"/>
    <w:rsid w:val="001B3B15"/>
    <w:rsid w:val="001B411D"/>
    <w:rsid w:val="001B4AD2"/>
    <w:rsid w:val="001B7CD6"/>
    <w:rsid w:val="001C0F13"/>
    <w:rsid w:val="001C159D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0DFF"/>
    <w:rsid w:val="001E15F4"/>
    <w:rsid w:val="001E4CDF"/>
    <w:rsid w:val="001E668E"/>
    <w:rsid w:val="001E6CF4"/>
    <w:rsid w:val="001E6D5F"/>
    <w:rsid w:val="001F07A2"/>
    <w:rsid w:val="001F0CB6"/>
    <w:rsid w:val="001F0D0B"/>
    <w:rsid w:val="001F1317"/>
    <w:rsid w:val="001F1C81"/>
    <w:rsid w:val="001F3966"/>
    <w:rsid w:val="001F49F2"/>
    <w:rsid w:val="001F4BFA"/>
    <w:rsid w:val="002005D5"/>
    <w:rsid w:val="00200BBE"/>
    <w:rsid w:val="00201086"/>
    <w:rsid w:val="0020192B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17796"/>
    <w:rsid w:val="00222056"/>
    <w:rsid w:val="00223147"/>
    <w:rsid w:val="002336E2"/>
    <w:rsid w:val="00233DB7"/>
    <w:rsid w:val="00234E20"/>
    <w:rsid w:val="00236B55"/>
    <w:rsid w:val="002415CE"/>
    <w:rsid w:val="00241B89"/>
    <w:rsid w:val="00242CDA"/>
    <w:rsid w:val="00244B1F"/>
    <w:rsid w:val="00246554"/>
    <w:rsid w:val="002471C5"/>
    <w:rsid w:val="0025146D"/>
    <w:rsid w:val="00251A58"/>
    <w:rsid w:val="00251E2C"/>
    <w:rsid w:val="00252945"/>
    <w:rsid w:val="00253437"/>
    <w:rsid w:val="00253D91"/>
    <w:rsid w:val="00253DDA"/>
    <w:rsid w:val="00255E99"/>
    <w:rsid w:val="002564D7"/>
    <w:rsid w:val="00257542"/>
    <w:rsid w:val="00260349"/>
    <w:rsid w:val="00261EA1"/>
    <w:rsid w:val="00261F73"/>
    <w:rsid w:val="00263DE9"/>
    <w:rsid w:val="002656B4"/>
    <w:rsid w:val="00266629"/>
    <w:rsid w:val="002669BB"/>
    <w:rsid w:val="002703A0"/>
    <w:rsid w:val="00273B5D"/>
    <w:rsid w:val="00274F92"/>
    <w:rsid w:val="0027736F"/>
    <w:rsid w:val="00280E6B"/>
    <w:rsid w:val="0028106B"/>
    <w:rsid w:val="00281C98"/>
    <w:rsid w:val="0028236E"/>
    <w:rsid w:val="0028365E"/>
    <w:rsid w:val="002844B8"/>
    <w:rsid w:val="00285336"/>
    <w:rsid w:val="00287966"/>
    <w:rsid w:val="0029099C"/>
    <w:rsid w:val="00291181"/>
    <w:rsid w:val="002925CD"/>
    <w:rsid w:val="00292735"/>
    <w:rsid w:val="0029498A"/>
    <w:rsid w:val="002965CC"/>
    <w:rsid w:val="002A0BE8"/>
    <w:rsid w:val="002A16AD"/>
    <w:rsid w:val="002A4AA0"/>
    <w:rsid w:val="002A601C"/>
    <w:rsid w:val="002A6B44"/>
    <w:rsid w:val="002A7A9D"/>
    <w:rsid w:val="002B0D69"/>
    <w:rsid w:val="002B2AD9"/>
    <w:rsid w:val="002B3461"/>
    <w:rsid w:val="002B35F5"/>
    <w:rsid w:val="002B4F3D"/>
    <w:rsid w:val="002B5928"/>
    <w:rsid w:val="002B6DEC"/>
    <w:rsid w:val="002B6EE5"/>
    <w:rsid w:val="002B742B"/>
    <w:rsid w:val="002B7CE5"/>
    <w:rsid w:val="002C03E8"/>
    <w:rsid w:val="002C16B5"/>
    <w:rsid w:val="002C2FC2"/>
    <w:rsid w:val="002C3D08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2F6948"/>
    <w:rsid w:val="003016DD"/>
    <w:rsid w:val="00302ED5"/>
    <w:rsid w:val="003071C9"/>
    <w:rsid w:val="003115E3"/>
    <w:rsid w:val="00311CF7"/>
    <w:rsid w:val="00314675"/>
    <w:rsid w:val="00316F23"/>
    <w:rsid w:val="00321AE6"/>
    <w:rsid w:val="00323916"/>
    <w:rsid w:val="00326248"/>
    <w:rsid w:val="003308F4"/>
    <w:rsid w:val="00330C0C"/>
    <w:rsid w:val="00332749"/>
    <w:rsid w:val="003345CE"/>
    <w:rsid w:val="003363F0"/>
    <w:rsid w:val="003371F1"/>
    <w:rsid w:val="00342C0D"/>
    <w:rsid w:val="00345A2C"/>
    <w:rsid w:val="00346616"/>
    <w:rsid w:val="00346F3E"/>
    <w:rsid w:val="00356883"/>
    <w:rsid w:val="00357909"/>
    <w:rsid w:val="003608A8"/>
    <w:rsid w:val="0036345A"/>
    <w:rsid w:val="003650F1"/>
    <w:rsid w:val="00365741"/>
    <w:rsid w:val="00366580"/>
    <w:rsid w:val="00371379"/>
    <w:rsid w:val="003819D5"/>
    <w:rsid w:val="0038204A"/>
    <w:rsid w:val="0038227B"/>
    <w:rsid w:val="00382A78"/>
    <w:rsid w:val="00382BC1"/>
    <w:rsid w:val="00382D2A"/>
    <w:rsid w:val="00384B84"/>
    <w:rsid w:val="00386DE2"/>
    <w:rsid w:val="00390C29"/>
    <w:rsid w:val="00392F6D"/>
    <w:rsid w:val="00393453"/>
    <w:rsid w:val="00393645"/>
    <w:rsid w:val="00393863"/>
    <w:rsid w:val="00395C95"/>
    <w:rsid w:val="003A00AA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6E88"/>
    <w:rsid w:val="003C767A"/>
    <w:rsid w:val="003C7B10"/>
    <w:rsid w:val="003D1E9B"/>
    <w:rsid w:val="003D41E1"/>
    <w:rsid w:val="003D595A"/>
    <w:rsid w:val="003D5B6B"/>
    <w:rsid w:val="003D6781"/>
    <w:rsid w:val="003D7EA2"/>
    <w:rsid w:val="003E0511"/>
    <w:rsid w:val="003E0CB4"/>
    <w:rsid w:val="003E3EF1"/>
    <w:rsid w:val="003E6A03"/>
    <w:rsid w:val="003E761B"/>
    <w:rsid w:val="003F0EF7"/>
    <w:rsid w:val="003F12C7"/>
    <w:rsid w:val="003F2D65"/>
    <w:rsid w:val="003F4380"/>
    <w:rsid w:val="003F6B9B"/>
    <w:rsid w:val="0040068D"/>
    <w:rsid w:val="00402279"/>
    <w:rsid w:val="004031F3"/>
    <w:rsid w:val="004072FA"/>
    <w:rsid w:val="00411A3E"/>
    <w:rsid w:val="00412AF5"/>
    <w:rsid w:val="00414DCA"/>
    <w:rsid w:val="00415FC9"/>
    <w:rsid w:val="00417181"/>
    <w:rsid w:val="00417B32"/>
    <w:rsid w:val="00420871"/>
    <w:rsid w:val="00420EB7"/>
    <w:rsid w:val="00423D70"/>
    <w:rsid w:val="004245E8"/>
    <w:rsid w:val="0042723D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24A9"/>
    <w:rsid w:val="00453C6F"/>
    <w:rsid w:val="00454A69"/>
    <w:rsid w:val="00462B7E"/>
    <w:rsid w:val="0046349E"/>
    <w:rsid w:val="004653F1"/>
    <w:rsid w:val="00466253"/>
    <w:rsid w:val="00466F5C"/>
    <w:rsid w:val="004671E5"/>
    <w:rsid w:val="00467AF0"/>
    <w:rsid w:val="004726E2"/>
    <w:rsid w:val="004735CF"/>
    <w:rsid w:val="00476468"/>
    <w:rsid w:val="0047736A"/>
    <w:rsid w:val="004773D4"/>
    <w:rsid w:val="00482CBD"/>
    <w:rsid w:val="0048398F"/>
    <w:rsid w:val="00483BA8"/>
    <w:rsid w:val="0048419F"/>
    <w:rsid w:val="00491165"/>
    <w:rsid w:val="0049116E"/>
    <w:rsid w:val="00491B6D"/>
    <w:rsid w:val="004943D7"/>
    <w:rsid w:val="00495298"/>
    <w:rsid w:val="004966D2"/>
    <w:rsid w:val="00497F7B"/>
    <w:rsid w:val="004A069E"/>
    <w:rsid w:val="004A0EB0"/>
    <w:rsid w:val="004A45E3"/>
    <w:rsid w:val="004B0385"/>
    <w:rsid w:val="004B7350"/>
    <w:rsid w:val="004C3108"/>
    <w:rsid w:val="004C33C1"/>
    <w:rsid w:val="004C4903"/>
    <w:rsid w:val="004C4A23"/>
    <w:rsid w:val="004C5855"/>
    <w:rsid w:val="004D1C64"/>
    <w:rsid w:val="004D6734"/>
    <w:rsid w:val="004D6F3B"/>
    <w:rsid w:val="004E02E1"/>
    <w:rsid w:val="004E27D6"/>
    <w:rsid w:val="004F3C27"/>
    <w:rsid w:val="004F5803"/>
    <w:rsid w:val="004F6CB8"/>
    <w:rsid w:val="0050007C"/>
    <w:rsid w:val="0050021F"/>
    <w:rsid w:val="005008C6"/>
    <w:rsid w:val="005036C2"/>
    <w:rsid w:val="00507B79"/>
    <w:rsid w:val="005112A6"/>
    <w:rsid w:val="00511D52"/>
    <w:rsid w:val="00511DD7"/>
    <w:rsid w:val="005140E2"/>
    <w:rsid w:val="00515171"/>
    <w:rsid w:val="00515663"/>
    <w:rsid w:val="005159A2"/>
    <w:rsid w:val="00520889"/>
    <w:rsid w:val="0052220A"/>
    <w:rsid w:val="005241F4"/>
    <w:rsid w:val="00524856"/>
    <w:rsid w:val="0052612C"/>
    <w:rsid w:val="005302FF"/>
    <w:rsid w:val="005306F2"/>
    <w:rsid w:val="00533DC1"/>
    <w:rsid w:val="00534902"/>
    <w:rsid w:val="005361D6"/>
    <w:rsid w:val="005365EB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49B"/>
    <w:rsid w:val="00567DA5"/>
    <w:rsid w:val="00570573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85A0A"/>
    <w:rsid w:val="00590EB0"/>
    <w:rsid w:val="00592A1A"/>
    <w:rsid w:val="00595747"/>
    <w:rsid w:val="0059596F"/>
    <w:rsid w:val="005A14A3"/>
    <w:rsid w:val="005A1FB4"/>
    <w:rsid w:val="005A428B"/>
    <w:rsid w:val="005B0E6C"/>
    <w:rsid w:val="005B3B17"/>
    <w:rsid w:val="005B6CEC"/>
    <w:rsid w:val="005B780C"/>
    <w:rsid w:val="005C1BF0"/>
    <w:rsid w:val="005C2ACC"/>
    <w:rsid w:val="005C2D21"/>
    <w:rsid w:val="005C333F"/>
    <w:rsid w:val="005C63C6"/>
    <w:rsid w:val="005C7F5C"/>
    <w:rsid w:val="005C7F7C"/>
    <w:rsid w:val="005D153F"/>
    <w:rsid w:val="005D5CC5"/>
    <w:rsid w:val="005E17AE"/>
    <w:rsid w:val="005E2392"/>
    <w:rsid w:val="005E66BB"/>
    <w:rsid w:val="005F0B28"/>
    <w:rsid w:val="005F35D0"/>
    <w:rsid w:val="00600D5B"/>
    <w:rsid w:val="00603CCD"/>
    <w:rsid w:val="00604389"/>
    <w:rsid w:val="006065D1"/>
    <w:rsid w:val="006069D0"/>
    <w:rsid w:val="0060768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2C2"/>
    <w:rsid w:val="00622C1D"/>
    <w:rsid w:val="00623AB8"/>
    <w:rsid w:val="006244EC"/>
    <w:rsid w:val="00625078"/>
    <w:rsid w:val="006250F8"/>
    <w:rsid w:val="00625C5A"/>
    <w:rsid w:val="0063016E"/>
    <w:rsid w:val="006312E5"/>
    <w:rsid w:val="00632849"/>
    <w:rsid w:val="00632A98"/>
    <w:rsid w:val="006334C2"/>
    <w:rsid w:val="00640337"/>
    <w:rsid w:val="006437ED"/>
    <w:rsid w:val="00646439"/>
    <w:rsid w:val="00647796"/>
    <w:rsid w:val="00647F1B"/>
    <w:rsid w:val="00651275"/>
    <w:rsid w:val="006514BD"/>
    <w:rsid w:val="006524C5"/>
    <w:rsid w:val="00652D2B"/>
    <w:rsid w:val="0065376C"/>
    <w:rsid w:val="0065385B"/>
    <w:rsid w:val="00653971"/>
    <w:rsid w:val="0065461A"/>
    <w:rsid w:val="006561A7"/>
    <w:rsid w:val="00656DC7"/>
    <w:rsid w:val="00660546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6B5C"/>
    <w:rsid w:val="006775DF"/>
    <w:rsid w:val="00677997"/>
    <w:rsid w:val="00683A03"/>
    <w:rsid w:val="00683CCB"/>
    <w:rsid w:val="00683E1D"/>
    <w:rsid w:val="006930DB"/>
    <w:rsid w:val="006940D8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5349"/>
    <w:rsid w:val="006A6823"/>
    <w:rsid w:val="006A742D"/>
    <w:rsid w:val="006B0DB7"/>
    <w:rsid w:val="006B1819"/>
    <w:rsid w:val="006B22F5"/>
    <w:rsid w:val="006B267F"/>
    <w:rsid w:val="006B351C"/>
    <w:rsid w:val="006B5794"/>
    <w:rsid w:val="006B5872"/>
    <w:rsid w:val="006C3B13"/>
    <w:rsid w:val="006C4351"/>
    <w:rsid w:val="006C65A9"/>
    <w:rsid w:val="006D1381"/>
    <w:rsid w:val="006D281B"/>
    <w:rsid w:val="006D3F49"/>
    <w:rsid w:val="006D7297"/>
    <w:rsid w:val="006E19F4"/>
    <w:rsid w:val="006E24CE"/>
    <w:rsid w:val="006E2CDA"/>
    <w:rsid w:val="006E2D28"/>
    <w:rsid w:val="006E3ADE"/>
    <w:rsid w:val="006E4D0A"/>
    <w:rsid w:val="006E7D8F"/>
    <w:rsid w:val="006F01AB"/>
    <w:rsid w:val="006F52E9"/>
    <w:rsid w:val="006F7CD1"/>
    <w:rsid w:val="007000B5"/>
    <w:rsid w:val="007008C9"/>
    <w:rsid w:val="00700A03"/>
    <w:rsid w:val="0070161B"/>
    <w:rsid w:val="00703FEE"/>
    <w:rsid w:val="007040D2"/>
    <w:rsid w:val="00705AE5"/>
    <w:rsid w:val="00705FDD"/>
    <w:rsid w:val="00706DAA"/>
    <w:rsid w:val="007070BE"/>
    <w:rsid w:val="00710360"/>
    <w:rsid w:val="0071394B"/>
    <w:rsid w:val="00714917"/>
    <w:rsid w:val="007154D7"/>
    <w:rsid w:val="007155CD"/>
    <w:rsid w:val="0071583B"/>
    <w:rsid w:val="00716B7B"/>
    <w:rsid w:val="00721711"/>
    <w:rsid w:val="00721712"/>
    <w:rsid w:val="0072221A"/>
    <w:rsid w:val="00726378"/>
    <w:rsid w:val="00726DD9"/>
    <w:rsid w:val="007315EB"/>
    <w:rsid w:val="00731C88"/>
    <w:rsid w:val="00732A82"/>
    <w:rsid w:val="00734CCE"/>
    <w:rsid w:val="00736B60"/>
    <w:rsid w:val="007371BC"/>
    <w:rsid w:val="007379F7"/>
    <w:rsid w:val="00737F1B"/>
    <w:rsid w:val="00740253"/>
    <w:rsid w:val="007404E8"/>
    <w:rsid w:val="00740A9A"/>
    <w:rsid w:val="00743D7B"/>
    <w:rsid w:val="00744DAB"/>
    <w:rsid w:val="0074783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77740"/>
    <w:rsid w:val="00781100"/>
    <w:rsid w:val="00781FD3"/>
    <w:rsid w:val="007831B8"/>
    <w:rsid w:val="00784736"/>
    <w:rsid w:val="0078561E"/>
    <w:rsid w:val="007857F0"/>
    <w:rsid w:val="00786803"/>
    <w:rsid w:val="00786C49"/>
    <w:rsid w:val="00790957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4A7"/>
    <w:rsid w:val="007C1DFF"/>
    <w:rsid w:val="007C3283"/>
    <w:rsid w:val="007C60EA"/>
    <w:rsid w:val="007C7A26"/>
    <w:rsid w:val="007D1998"/>
    <w:rsid w:val="007D2CA4"/>
    <w:rsid w:val="007D44E9"/>
    <w:rsid w:val="007D521E"/>
    <w:rsid w:val="007D565C"/>
    <w:rsid w:val="007D70AC"/>
    <w:rsid w:val="007E2453"/>
    <w:rsid w:val="007E2F74"/>
    <w:rsid w:val="007E3E36"/>
    <w:rsid w:val="007E627C"/>
    <w:rsid w:val="007E7AA6"/>
    <w:rsid w:val="007E7FC4"/>
    <w:rsid w:val="007F32F2"/>
    <w:rsid w:val="007F507E"/>
    <w:rsid w:val="007F58CD"/>
    <w:rsid w:val="00800E24"/>
    <w:rsid w:val="008010E3"/>
    <w:rsid w:val="008017F4"/>
    <w:rsid w:val="00802342"/>
    <w:rsid w:val="008036C6"/>
    <w:rsid w:val="00804A5F"/>
    <w:rsid w:val="0081003A"/>
    <w:rsid w:val="008104AF"/>
    <w:rsid w:val="008107C0"/>
    <w:rsid w:val="00810E08"/>
    <w:rsid w:val="00811DEB"/>
    <w:rsid w:val="00812054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761"/>
    <w:rsid w:val="00843FDD"/>
    <w:rsid w:val="00844059"/>
    <w:rsid w:val="00844A4D"/>
    <w:rsid w:val="00844CA9"/>
    <w:rsid w:val="00850157"/>
    <w:rsid w:val="00852167"/>
    <w:rsid w:val="00853673"/>
    <w:rsid w:val="00855966"/>
    <w:rsid w:val="0085602B"/>
    <w:rsid w:val="008563D3"/>
    <w:rsid w:val="00862A06"/>
    <w:rsid w:val="00862EE7"/>
    <w:rsid w:val="008631ED"/>
    <w:rsid w:val="00863B6A"/>
    <w:rsid w:val="008666DA"/>
    <w:rsid w:val="0086718F"/>
    <w:rsid w:val="00872A8A"/>
    <w:rsid w:val="008761E8"/>
    <w:rsid w:val="00877E15"/>
    <w:rsid w:val="00882D5F"/>
    <w:rsid w:val="00884374"/>
    <w:rsid w:val="00885DE0"/>
    <w:rsid w:val="008867B6"/>
    <w:rsid w:val="00887087"/>
    <w:rsid w:val="00887DE9"/>
    <w:rsid w:val="00890E01"/>
    <w:rsid w:val="00891974"/>
    <w:rsid w:val="008923DF"/>
    <w:rsid w:val="00896CEC"/>
    <w:rsid w:val="00897895"/>
    <w:rsid w:val="008A4361"/>
    <w:rsid w:val="008A5DF8"/>
    <w:rsid w:val="008A6D24"/>
    <w:rsid w:val="008B5F75"/>
    <w:rsid w:val="008C4E21"/>
    <w:rsid w:val="008C5D10"/>
    <w:rsid w:val="008C6103"/>
    <w:rsid w:val="008C6FF0"/>
    <w:rsid w:val="008C76FE"/>
    <w:rsid w:val="008D0AE5"/>
    <w:rsid w:val="008D7A7C"/>
    <w:rsid w:val="008E0D6F"/>
    <w:rsid w:val="008E1DF2"/>
    <w:rsid w:val="008E2BEF"/>
    <w:rsid w:val="008E3B05"/>
    <w:rsid w:val="008E7988"/>
    <w:rsid w:val="008E7E64"/>
    <w:rsid w:val="008F1BFA"/>
    <w:rsid w:val="008F6F65"/>
    <w:rsid w:val="00902157"/>
    <w:rsid w:val="009054E2"/>
    <w:rsid w:val="009064EF"/>
    <w:rsid w:val="009122A0"/>
    <w:rsid w:val="00913B10"/>
    <w:rsid w:val="0091494D"/>
    <w:rsid w:val="00914BC9"/>
    <w:rsid w:val="00914BCF"/>
    <w:rsid w:val="00916BFF"/>
    <w:rsid w:val="00917005"/>
    <w:rsid w:val="00921553"/>
    <w:rsid w:val="0092281E"/>
    <w:rsid w:val="00922CEA"/>
    <w:rsid w:val="00924D69"/>
    <w:rsid w:val="0092566D"/>
    <w:rsid w:val="00926BB0"/>
    <w:rsid w:val="00930101"/>
    <w:rsid w:val="0093366D"/>
    <w:rsid w:val="00936966"/>
    <w:rsid w:val="00940D1E"/>
    <w:rsid w:val="009439FD"/>
    <w:rsid w:val="00946580"/>
    <w:rsid w:val="009500F7"/>
    <w:rsid w:val="00950A71"/>
    <w:rsid w:val="0095269F"/>
    <w:rsid w:val="00953F3E"/>
    <w:rsid w:val="00956DB0"/>
    <w:rsid w:val="00960123"/>
    <w:rsid w:val="00960402"/>
    <w:rsid w:val="00965E33"/>
    <w:rsid w:val="00967F76"/>
    <w:rsid w:val="0097008F"/>
    <w:rsid w:val="00970097"/>
    <w:rsid w:val="00971652"/>
    <w:rsid w:val="00975B08"/>
    <w:rsid w:val="0097738C"/>
    <w:rsid w:val="009774F7"/>
    <w:rsid w:val="00981F5F"/>
    <w:rsid w:val="00982284"/>
    <w:rsid w:val="00983E53"/>
    <w:rsid w:val="00985230"/>
    <w:rsid w:val="009856E3"/>
    <w:rsid w:val="00987E0D"/>
    <w:rsid w:val="0099124D"/>
    <w:rsid w:val="0099226B"/>
    <w:rsid w:val="00992523"/>
    <w:rsid w:val="0099353B"/>
    <w:rsid w:val="0099615A"/>
    <w:rsid w:val="009965D9"/>
    <w:rsid w:val="009A01C2"/>
    <w:rsid w:val="009A0D3E"/>
    <w:rsid w:val="009A228C"/>
    <w:rsid w:val="009A265C"/>
    <w:rsid w:val="009A29B3"/>
    <w:rsid w:val="009A2D69"/>
    <w:rsid w:val="009A41B8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A1D"/>
    <w:rsid w:val="009D4A60"/>
    <w:rsid w:val="009D50B6"/>
    <w:rsid w:val="009D5E2B"/>
    <w:rsid w:val="009E009D"/>
    <w:rsid w:val="009E1026"/>
    <w:rsid w:val="009E5B1B"/>
    <w:rsid w:val="009F24C2"/>
    <w:rsid w:val="009F3E3E"/>
    <w:rsid w:val="009F5C0E"/>
    <w:rsid w:val="00A01232"/>
    <w:rsid w:val="00A01974"/>
    <w:rsid w:val="00A03458"/>
    <w:rsid w:val="00A06BF6"/>
    <w:rsid w:val="00A06E9B"/>
    <w:rsid w:val="00A10F40"/>
    <w:rsid w:val="00A1181E"/>
    <w:rsid w:val="00A11A5C"/>
    <w:rsid w:val="00A11EC9"/>
    <w:rsid w:val="00A210C9"/>
    <w:rsid w:val="00A2223F"/>
    <w:rsid w:val="00A242D5"/>
    <w:rsid w:val="00A24528"/>
    <w:rsid w:val="00A24716"/>
    <w:rsid w:val="00A2646C"/>
    <w:rsid w:val="00A31734"/>
    <w:rsid w:val="00A32CE7"/>
    <w:rsid w:val="00A33AE6"/>
    <w:rsid w:val="00A3420E"/>
    <w:rsid w:val="00A363C0"/>
    <w:rsid w:val="00A37795"/>
    <w:rsid w:val="00A37AD6"/>
    <w:rsid w:val="00A41069"/>
    <w:rsid w:val="00A410E0"/>
    <w:rsid w:val="00A41EF0"/>
    <w:rsid w:val="00A42604"/>
    <w:rsid w:val="00A426AA"/>
    <w:rsid w:val="00A463D8"/>
    <w:rsid w:val="00A46DB3"/>
    <w:rsid w:val="00A47989"/>
    <w:rsid w:val="00A61B8A"/>
    <w:rsid w:val="00A63BC0"/>
    <w:rsid w:val="00A640CF"/>
    <w:rsid w:val="00A6713D"/>
    <w:rsid w:val="00A6799E"/>
    <w:rsid w:val="00A7066C"/>
    <w:rsid w:val="00A70742"/>
    <w:rsid w:val="00A71FC8"/>
    <w:rsid w:val="00A7279D"/>
    <w:rsid w:val="00A73472"/>
    <w:rsid w:val="00A737F5"/>
    <w:rsid w:val="00A74CA3"/>
    <w:rsid w:val="00A76C23"/>
    <w:rsid w:val="00A76F52"/>
    <w:rsid w:val="00A77910"/>
    <w:rsid w:val="00A77CD2"/>
    <w:rsid w:val="00A80BAD"/>
    <w:rsid w:val="00A816E5"/>
    <w:rsid w:val="00A820C9"/>
    <w:rsid w:val="00A82AC3"/>
    <w:rsid w:val="00A832AB"/>
    <w:rsid w:val="00A8375C"/>
    <w:rsid w:val="00A86D78"/>
    <w:rsid w:val="00A87395"/>
    <w:rsid w:val="00A87CA4"/>
    <w:rsid w:val="00A903DE"/>
    <w:rsid w:val="00A911BC"/>
    <w:rsid w:val="00A92490"/>
    <w:rsid w:val="00A93418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09D"/>
    <w:rsid w:val="00AA5834"/>
    <w:rsid w:val="00AB40D7"/>
    <w:rsid w:val="00AB7BA3"/>
    <w:rsid w:val="00AC31DF"/>
    <w:rsid w:val="00AC323B"/>
    <w:rsid w:val="00AC5FC5"/>
    <w:rsid w:val="00AC6293"/>
    <w:rsid w:val="00AC6C3C"/>
    <w:rsid w:val="00AC7AAB"/>
    <w:rsid w:val="00AD09B6"/>
    <w:rsid w:val="00AD0B86"/>
    <w:rsid w:val="00AD226A"/>
    <w:rsid w:val="00AD31E3"/>
    <w:rsid w:val="00AD4C53"/>
    <w:rsid w:val="00AD5899"/>
    <w:rsid w:val="00AD6828"/>
    <w:rsid w:val="00AD7E43"/>
    <w:rsid w:val="00AE0FC4"/>
    <w:rsid w:val="00AE1F8C"/>
    <w:rsid w:val="00AE201C"/>
    <w:rsid w:val="00AE2EA3"/>
    <w:rsid w:val="00AE31FA"/>
    <w:rsid w:val="00AE3339"/>
    <w:rsid w:val="00AE3870"/>
    <w:rsid w:val="00AE523F"/>
    <w:rsid w:val="00AE730B"/>
    <w:rsid w:val="00AF0F78"/>
    <w:rsid w:val="00AF2699"/>
    <w:rsid w:val="00AF3518"/>
    <w:rsid w:val="00AF3DBF"/>
    <w:rsid w:val="00AF41BF"/>
    <w:rsid w:val="00AF53EA"/>
    <w:rsid w:val="00AF57E7"/>
    <w:rsid w:val="00AF6928"/>
    <w:rsid w:val="00AF7935"/>
    <w:rsid w:val="00B00316"/>
    <w:rsid w:val="00B00A02"/>
    <w:rsid w:val="00B01DED"/>
    <w:rsid w:val="00B02395"/>
    <w:rsid w:val="00B028D8"/>
    <w:rsid w:val="00B04458"/>
    <w:rsid w:val="00B051FF"/>
    <w:rsid w:val="00B058EE"/>
    <w:rsid w:val="00B058F9"/>
    <w:rsid w:val="00B06288"/>
    <w:rsid w:val="00B076D9"/>
    <w:rsid w:val="00B11707"/>
    <w:rsid w:val="00B13E12"/>
    <w:rsid w:val="00B211A8"/>
    <w:rsid w:val="00B234E8"/>
    <w:rsid w:val="00B23902"/>
    <w:rsid w:val="00B2413C"/>
    <w:rsid w:val="00B25673"/>
    <w:rsid w:val="00B310BA"/>
    <w:rsid w:val="00B31872"/>
    <w:rsid w:val="00B33C5E"/>
    <w:rsid w:val="00B37423"/>
    <w:rsid w:val="00B37F72"/>
    <w:rsid w:val="00B40E82"/>
    <w:rsid w:val="00B42B07"/>
    <w:rsid w:val="00B43D72"/>
    <w:rsid w:val="00B443D7"/>
    <w:rsid w:val="00B448EA"/>
    <w:rsid w:val="00B44D11"/>
    <w:rsid w:val="00B458A2"/>
    <w:rsid w:val="00B458DC"/>
    <w:rsid w:val="00B51B8A"/>
    <w:rsid w:val="00B53E47"/>
    <w:rsid w:val="00B54BD1"/>
    <w:rsid w:val="00B563C5"/>
    <w:rsid w:val="00B6676A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86B62"/>
    <w:rsid w:val="00B92872"/>
    <w:rsid w:val="00B93142"/>
    <w:rsid w:val="00B9337B"/>
    <w:rsid w:val="00B93D7A"/>
    <w:rsid w:val="00B94026"/>
    <w:rsid w:val="00B95846"/>
    <w:rsid w:val="00B95E0F"/>
    <w:rsid w:val="00BA22FC"/>
    <w:rsid w:val="00BA2F4D"/>
    <w:rsid w:val="00BA43C4"/>
    <w:rsid w:val="00BA7E30"/>
    <w:rsid w:val="00BB05C8"/>
    <w:rsid w:val="00BB0DA1"/>
    <w:rsid w:val="00BB2810"/>
    <w:rsid w:val="00BB4E6B"/>
    <w:rsid w:val="00BC39E5"/>
    <w:rsid w:val="00BC3A16"/>
    <w:rsid w:val="00BC3C2C"/>
    <w:rsid w:val="00BC60D5"/>
    <w:rsid w:val="00BC6A57"/>
    <w:rsid w:val="00BC6D40"/>
    <w:rsid w:val="00BD0BB3"/>
    <w:rsid w:val="00BD150B"/>
    <w:rsid w:val="00BD337E"/>
    <w:rsid w:val="00BD3504"/>
    <w:rsid w:val="00BD5445"/>
    <w:rsid w:val="00BD5668"/>
    <w:rsid w:val="00BD57D6"/>
    <w:rsid w:val="00BD604C"/>
    <w:rsid w:val="00BD6C65"/>
    <w:rsid w:val="00BE0FC6"/>
    <w:rsid w:val="00BE278F"/>
    <w:rsid w:val="00BE327F"/>
    <w:rsid w:val="00BE4DF1"/>
    <w:rsid w:val="00BE6292"/>
    <w:rsid w:val="00BE6E59"/>
    <w:rsid w:val="00BF0660"/>
    <w:rsid w:val="00BF13EC"/>
    <w:rsid w:val="00BF20AF"/>
    <w:rsid w:val="00BF4699"/>
    <w:rsid w:val="00BF77B7"/>
    <w:rsid w:val="00C003F5"/>
    <w:rsid w:val="00C00462"/>
    <w:rsid w:val="00C006A2"/>
    <w:rsid w:val="00C02D50"/>
    <w:rsid w:val="00C02FB9"/>
    <w:rsid w:val="00C03F74"/>
    <w:rsid w:val="00C055E6"/>
    <w:rsid w:val="00C05C77"/>
    <w:rsid w:val="00C05FBC"/>
    <w:rsid w:val="00C118FA"/>
    <w:rsid w:val="00C15968"/>
    <w:rsid w:val="00C15B61"/>
    <w:rsid w:val="00C16020"/>
    <w:rsid w:val="00C16798"/>
    <w:rsid w:val="00C21116"/>
    <w:rsid w:val="00C21E5F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094D"/>
    <w:rsid w:val="00C414F3"/>
    <w:rsid w:val="00C4316F"/>
    <w:rsid w:val="00C433C6"/>
    <w:rsid w:val="00C4366D"/>
    <w:rsid w:val="00C44D3B"/>
    <w:rsid w:val="00C44F73"/>
    <w:rsid w:val="00C52039"/>
    <w:rsid w:val="00C5216A"/>
    <w:rsid w:val="00C53002"/>
    <w:rsid w:val="00C532D5"/>
    <w:rsid w:val="00C53CBC"/>
    <w:rsid w:val="00C53FD9"/>
    <w:rsid w:val="00C546B6"/>
    <w:rsid w:val="00C55637"/>
    <w:rsid w:val="00C56772"/>
    <w:rsid w:val="00C56855"/>
    <w:rsid w:val="00C6025C"/>
    <w:rsid w:val="00C6182F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0709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3272"/>
    <w:rsid w:val="00C93A09"/>
    <w:rsid w:val="00C9591E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B0E66"/>
    <w:rsid w:val="00CB3CAE"/>
    <w:rsid w:val="00CB41A4"/>
    <w:rsid w:val="00CB460C"/>
    <w:rsid w:val="00CB58C8"/>
    <w:rsid w:val="00CB6F26"/>
    <w:rsid w:val="00CC3571"/>
    <w:rsid w:val="00CC5813"/>
    <w:rsid w:val="00CD0164"/>
    <w:rsid w:val="00CD0E06"/>
    <w:rsid w:val="00CD2249"/>
    <w:rsid w:val="00CD24EC"/>
    <w:rsid w:val="00CD3E02"/>
    <w:rsid w:val="00CD4013"/>
    <w:rsid w:val="00CD51B1"/>
    <w:rsid w:val="00CD56F1"/>
    <w:rsid w:val="00CD6552"/>
    <w:rsid w:val="00CD6C83"/>
    <w:rsid w:val="00CE4801"/>
    <w:rsid w:val="00CE7745"/>
    <w:rsid w:val="00CF0C1A"/>
    <w:rsid w:val="00CF1452"/>
    <w:rsid w:val="00CF478A"/>
    <w:rsid w:val="00CF4A43"/>
    <w:rsid w:val="00CF7AE6"/>
    <w:rsid w:val="00D04E32"/>
    <w:rsid w:val="00D06215"/>
    <w:rsid w:val="00D1067E"/>
    <w:rsid w:val="00D11C7C"/>
    <w:rsid w:val="00D132C1"/>
    <w:rsid w:val="00D232B8"/>
    <w:rsid w:val="00D23BEE"/>
    <w:rsid w:val="00D23D1C"/>
    <w:rsid w:val="00D27121"/>
    <w:rsid w:val="00D27373"/>
    <w:rsid w:val="00D27837"/>
    <w:rsid w:val="00D27B4A"/>
    <w:rsid w:val="00D302D6"/>
    <w:rsid w:val="00D3062A"/>
    <w:rsid w:val="00D31494"/>
    <w:rsid w:val="00D32590"/>
    <w:rsid w:val="00D338F3"/>
    <w:rsid w:val="00D33DC1"/>
    <w:rsid w:val="00D40125"/>
    <w:rsid w:val="00D41772"/>
    <w:rsid w:val="00D41A9A"/>
    <w:rsid w:val="00D426B5"/>
    <w:rsid w:val="00D442AD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5647"/>
    <w:rsid w:val="00D65C3B"/>
    <w:rsid w:val="00D66379"/>
    <w:rsid w:val="00D66CE2"/>
    <w:rsid w:val="00D71EAB"/>
    <w:rsid w:val="00D72117"/>
    <w:rsid w:val="00D72A62"/>
    <w:rsid w:val="00D742C7"/>
    <w:rsid w:val="00D74CE9"/>
    <w:rsid w:val="00D75B87"/>
    <w:rsid w:val="00D7666D"/>
    <w:rsid w:val="00D82022"/>
    <w:rsid w:val="00D821DB"/>
    <w:rsid w:val="00D845D8"/>
    <w:rsid w:val="00D85D37"/>
    <w:rsid w:val="00D86EDE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62DF"/>
    <w:rsid w:val="00DC70F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FC6"/>
    <w:rsid w:val="00E16BD2"/>
    <w:rsid w:val="00E17E2F"/>
    <w:rsid w:val="00E213AF"/>
    <w:rsid w:val="00E23BD4"/>
    <w:rsid w:val="00E25B16"/>
    <w:rsid w:val="00E25B4C"/>
    <w:rsid w:val="00E2606F"/>
    <w:rsid w:val="00E27412"/>
    <w:rsid w:val="00E27BB4"/>
    <w:rsid w:val="00E307D6"/>
    <w:rsid w:val="00E325E5"/>
    <w:rsid w:val="00E35339"/>
    <w:rsid w:val="00E356BF"/>
    <w:rsid w:val="00E35E00"/>
    <w:rsid w:val="00E40836"/>
    <w:rsid w:val="00E41019"/>
    <w:rsid w:val="00E422E0"/>
    <w:rsid w:val="00E43492"/>
    <w:rsid w:val="00E434DA"/>
    <w:rsid w:val="00E43A6F"/>
    <w:rsid w:val="00E522DF"/>
    <w:rsid w:val="00E52B1E"/>
    <w:rsid w:val="00E53022"/>
    <w:rsid w:val="00E55DED"/>
    <w:rsid w:val="00E567BC"/>
    <w:rsid w:val="00E5794E"/>
    <w:rsid w:val="00E57D79"/>
    <w:rsid w:val="00E60305"/>
    <w:rsid w:val="00E605A7"/>
    <w:rsid w:val="00E619FE"/>
    <w:rsid w:val="00E61BB7"/>
    <w:rsid w:val="00E61F36"/>
    <w:rsid w:val="00E6472E"/>
    <w:rsid w:val="00E64A8D"/>
    <w:rsid w:val="00E7102E"/>
    <w:rsid w:val="00E71DC6"/>
    <w:rsid w:val="00E72BFC"/>
    <w:rsid w:val="00E73F58"/>
    <w:rsid w:val="00E74509"/>
    <w:rsid w:val="00E7540C"/>
    <w:rsid w:val="00E76CEE"/>
    <w:rsid w:val="00E77C20"/>
    <w:rsid w:val="00E82C7A"/>
    <w:rsid w:val="00E83010"/>
    <w:rsid w:val="00E84205"/>
    <w:rsid w:val="00E876F3"/>
    <w:rsid w:val="00E87FF3"/>
    <w:rsid w:val="00E9187B"/>
    <w:rsid w:val="00E927FF"/>
    <w:rsid w:val="00E94BCF"/>
    <w:rsid w:val="00E95B15"/>
    <w:rsid w:val="00E97BC6"/>
    <w:rsid w:val="00EA0206"/>
    <w:rsid w:val="00EA0699"/>
    <w:rsid w:val="00EA0DB5"/>
    <w:rsid w:val="00EA0F36"/>
    <w:rsid w:val="00EA14EE"/>
    <w:rsid w:val="00EA31CE"/>
    <w:rsid w:val="00EA5CEF"/>
    <w:rsid w:val="00EB01E3"/>
    <w:rsid w:val="00EB1D78"/>
    <w:rsid w:val="00EB27D4"/>
    <w:rsid w:val="00EB2C40"/>
    <w:rsid w:val="00EB3CF4"/>
    <w:rsid w:val="00EB5C53"/>
    <w:rsid w:val="00EB5F97"/>
    <w:rsid w:val="00EB7914"/>
    <w:rsid w:val="00EC158A"/>
    <w:rsid w:val="00EC175B"/>
    <w:rsid w:val="00EC2661"/>
    <w:rsid w:val="00EC4191"/>
    <w:rsid w:val="00EC4CD1"/>
    <w:rsid w:val="00EC4D92"/>
    <w:rsid w:val="00EC538A"/>
    <w:rsid w:val="00EC5EE2"/>
    <w:rsid w:val="00EC7474"/>
    <w:rsid w:val="00ED106F"/>
    <w:rsid w:val="00ED25D9"/>
    <w:rsid w:val="00ED2B5B"/>
    <w:rsid w:val="00ED2DE9"/>
    <w:rsid w:val="00ED5468"/>
    <w:rsid w:val="00EE0060"/>
    <w:rsid w:val="00EE29D6"/>
    <w:rsid w:val="00EE2C2A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332"/>
    <w:rsid w:val="00F047A7"/>
    <w:rsid w:val="00F050CB"/>
    <w:rsid w:val="00F057D8"/>
    <w:rsid w:val="00F07FBA"/>
    <w:rsid w:val="00F1052F"/>
    <w:rsid w:val="00F105EF"/>
    <w:rsid w:val="00F1064B"/>
    <w:rsid w:val="00F10CE1"/>
    <w:rsid w:val="00F120F6"/>
    <w:rsid w:val="00F12262"/>
    <w:rsid w:val="00F13D36"/>
    <w:rsid w:val="00F2034F"/>
    <w:rsid w:val="00F20E22"/>
    <w:rsid w:val="00F21CB8"/>
    <w:rsid w:val="00F2225D"/>
    <w:rsid w:val="00F22662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713F3"/>
    <w:rsid w:val="00F7146A"/>
    <w:rsid w:val="00F730FA"/>
    <w:rsid w:val="00F76F85"/>
    <w:rsid w:val="00F80D83"/>
    <w:rsid w:val="00F81779"/>
    <w:rsid w:val="00F82946"/>
    <w:rsid w:val="00F82F84"/>
    <w:rsid w:val="00F84BB6"/>
    <w:rsid w:val="00F84EAE"/>
    <w:rsid w:val="00F853B1"/>
    <w:rsid w:val="00F8633C"/>
    <w:rsid w:val="00F869AB"/>
    <w:rsid w:val="00F9313D"/>
    <w:rsid w:val="00F93CAE"/>
    <w:rsid w:val="00F93E39"/>
    <w:rsid w:val="00F9415B"/>
    <w:rsid w:val="00F941E8"/>
    <w:rsid w:val="00F967BE"/>
    <w:rsid w:val="00FA1616"/>
    <w:rsid w:val="00FA1AB3"/>
    <w:rsid w:val="00FA1AE4"/>
    <w:rsid w:val="00FA26D1"/>
    <w:rsid w:val="00FA3000"/>
    <w:rsid w:val="00FA325E"/>
    <w:rsid w:val="00FA4983"/>
    <w:rsid w:val="00FA5E21"/>
    <w:rsid w:val="00FA725F"/>
    <w:rsid w:val="00FA7EC8"/>
    <w:rsid w:val="00FB0767"/>
    <w:rsid w:val="00FB4C0E"/>
    <w:rsid w:val="00FB4F86"/>
    <w:rsid w:val="00FB589C"/>
    <w:rsid w:val="00FB5C20"/>
    <w:rsid w:val="00FB63F7"/>
    <w:rsid w:val="00FB64B8"/>
    <w:rsid w:val="00FB66B7"/>
    <w:rsid w:val="00FC07CB"/>
    <w:rsid w:val="00FC340E"/>
    <w:rsid w:val="00FC63D5"/>
    <w:rsid w:val="00FC6651"/>
    <w:rsid w:val="00FD020A"/>
    <w:rsid w:val="00FD0246"/>
    <w:rsid w:val="00FD048C"/>
    <w:rsid w:val="00FD3854"/>
    <w:rsid w:val="00FD4E3E"/>
    <w:rsid w:val="00FE038C"/>
    <w:rsid w:val="00FE1057"/>
    <w:rsid w:val="00FE374D"/>
    <w:rsid w:val="00FE4C6D"/>
    <w:rsid w:val="00FF00E4"/>
    <w:rsid w:val="00FF0112"/>
    <w:rsid w:val="00FF0A9C"/>
    <w:rsid w:val="00FF0C7F"/>
    <w:rsid w:val="00FF187D"/>
    <w:rsid w:val="00FF2127"/>
    <w:rsid w:val="00FF3A2B"/>
    <w:rsid w:val="00FF4489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31410278"/>
  <w15:docId w15:val="{40EB466A-86CD-4F2D-A97A-79DF1384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uiPriority w:val="99"/>
    <w:qFormat/>
    <w:rsid w:val="002E629B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qFormat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A41069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semiHidden/>
    <w:rsid w:val="003E3EF1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link w:val="AufzhlungPunkt1Zchn"/>
    <w:qFormat/>
    <w:rsid w:val="005C2ACC"/>
    <w:pPr>
      <w:numPr>
        <w:numId w:val="1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5C2ACC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F853B1"/>
    <w:rPr>
      <w:vertAlign w:val="subscript"/>
    </w:rPr>
  </w:style>
  <w:style w:type="character" w:customStyle="1" w:styleId="StandardkleinZchn">
    <w:name w:val="Standard klein Zchn"/>
    <w:basedOn w:val="Absatz-Standardschriftart"/>
    <w:link w:val="Standardklein"/>
    <w:locked/>
    <w:rsid w:val="00345A2C"/>
    <w:rPr>
      <w:rFonts w:eastAsiaTheme="minorEastAsia"/>
      <w:sz w:val="16"/>
      <w:szCs w:val="16"/>
      <w:lang w:eastAsia="ja-JP"/>
    </w:rPr>
  </w:style>
  <w:style w:type="paragraph" w:customStyle="1" w:styleId="Standardklein">
    <w:name w:val="Standard klein"/>
    <w:basedOn w:val="Standard"/>
    <w:link w:val="StandardkleinZchn"/>
    <w:qFormat/>
    <w:rsid w:val="00345A2C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jc w:val="both"/>
      <w:textAlignment w:val="auto"/>
    </w:pPr>
    <w:rPr>
      <w:rFonts w:ascii="Times New Roman" w:eastAsiaTheme="minorEastAsia" w:hAnsi="Times New Roman" w:cs="Times New Roman"/>
      <w:sz w:val="16"/>
      <w:szCs w:val="16"/>
      <w:lang w:eastAsia="ja-JP"/>
    </w:rPr>
  </w:style>
  <w:style w:type="paragraph" w:styleId="Listenabsatz">
    <w:name w:val="List Paragraph"/>
    <w:basedOn w:val="Standard"/>
    <w:uiPriority w:val="34"/>
    <w:qFormat/>
    <w:rsid w:val="00BA7E3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autoSpaceDN/>
      <w:adjustRightInd/>
      <w:ind w:left="720"/>
      <w:contextualSpacing/>
      <w:textAlignment w:val="auto"/>
    </w:pPr>
    <w:rPr>
      <w:lang w:eastAsia="ar-SA"/>
    </w:rPr>
  </w:style>
  <w:style w:type="character" w:styleId="Hyperlink">
    <w:name w:val="Hyperlink"/>
    <w:basedOn w:val="Absatz-Standardschriftart"/>
    <w:uiPriority w:val="99"/>
    <w:semiHidden/>
    <w:unhideWhenUsed/>
    <w:qFormat/>
    <w:rsid w:val="000A4915"/>
    <w:rPr>
      <w:color w:val="0000FF" w:themeColor="hyperlink"/>
      <w:u w:val="singl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A4915"/>
    <w:rPr>
      <w:rFonts w:ascii="Arial" w:hAnsi="Arial" w:cs="Arial"/>
      <w:sz w:val="18"/>
      <w:szCs w:val="22"/>
    </w:rPr>
  </w:style>
  <w:style w:type="character" w:customStyle="1" w:styleId="StandardfettZchn">
    <w:name w:val="Standard fett Zchn"/>
    <w:basedOn w:val="Absatz-Standardschriftart"/>
    <w:link w:val="Standardfett"/>
    <w:locked/>
    <w:rsid w:val="000A4915"/>
    <w:rPr>
      <w:rFonts w:eastAsiaTheme="minorEastAsia"/>
      <w:b/>
      <w:lang w:eastAsia="ja-JP"/>
    </w:rPr>
  </w:style>
  <w:style w:type="paragraph" w:customStyle="1" w:styleId="Standardfett">
    <w:name w:val="Standard fett"/>
    <w:basedOn w:val="Standard"/>
    <w:link w:val="StandardfettZchn"/>
    <w:qFormat/>
    <w:rsid w:val="000A4915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jc w:val="both"/>
      <w:textAlignment w:val="auto"/>
    </w:pPr>
    <w:rPr>
      <w:rFonts w:ascii="Times New Roman" w:eastAsiaTheme="minorEastAsia" w:hAnsi="Times New Roman" w:cs="Times New Roman"/>
      <w:b/>
      <w:sz w:val="20"/>
      <w:szCs w:val="20"/>
      <w:lang w:eastAsia="ja-JP"/>
    </w:rPr>
  </w:style>
  <w:style w:type="paragraph" w:customStyle="1" w:styleId="b1">
    <w:name w:val="Üb 1"/>
    <w:basedOn w:val="Listenabsatz"/>
    <w:next w:val="Standard"/>
    <w:qFormat/>
    <w:rsid w:val="000A4915"/>
    <w:pPr>
      <w:keepNext/>
      <w:numPr>
        <w:numId w:val="22"/>
      </w:numPr>
      <w:overflowPunct/>
      <w:autoSpaceDE/>
      <w:spacing w:before="360" w:after="120" w:line="288" w:lineRule="auto"/>
      <w:contextualSpacing w:val="0"/>
      <w:jc w:val="both"/>
      <w:outlineLvl w:val="0"/>
    </w:pPr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qFormat/>
    <w:rsid w:val="000A4915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qFormat/>
    <w:rsid w:val="000A4915"/>
    <w:pPr>
      <w:keepNext/>
      <w:numPr>
        <w:ilvl w:val="2"/>
        <w:numId w:val="22"/>
      </w:numPr>
      <w:tabs>
        <w:tab w:val="num" w:pos="360"/>
      </w:tabs>
      <w:overflowPunct/>
      <w:autoSpaceDE/>
      <w:spacing w:before="240" w:after="120" w:line="288" w:lineRule="auto"/>
      <w:ind w:left="720" w:firstLine="0"/>
      <w:contextualSpacing w:val="0"/>
      <w:jc w:val="both"/>
      <w:outlineLvl w:val="2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paragraph" w:customStyle="1" w:styleId="b4">
    <w:name w:val="Üb 4"/>
    <w:basedOn w:val="b3"/>
    <w:next w:val="Standard"/>
    <w:qFormat/>
    <w:rsid w:val="000A4915"/>
    <w:pPr>
      <w:numPr>
        <w:ilvl w:val="3"/>
      </w:numPr>
      <w:tabs>
        <w:tab w:val="num" w:pos="360"/>
      </w:tabs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0A4915"/>
    <w:pPr>
      <w:numPr>
        <w:ilvl w:val="4"/>
      </w:numPr>
      <w:tabs>
        <w:tab w:val="num" w:pos="360"/>
      </w:tabs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0A4915"/>
    <w:pPr>
      <w:numPr>
        <w:ilvl w:val="5"/>
      </w:numPr>
      <w:tabs>
        <w:tab w:val="num" w:pos="360"/>
      </w:tabs>
      <w:ind w:left="1559" w:hanging="1559"/>
      <w:outlineLvl w:val="5"/>
    </w:pPr>
  </w:style>
  <w:style w:type="character" w:customStyle="1" w:styleId="AufzhlungBuchstabeZchn">
    <w:name w:val="Aufzählung Buchstabe Zchn"/>
    <w:basedOn w:val="Absatz-Standardschriftart"/>
    <w:link w:val="AufzhlungBuchstabe"/>
    <w:locked/>
    <w:rsid w:val="000A4915"/>
    <w:rPr>
      <w:rFonts w:eastAsiaTheme="minorEastAsia"/>
      <w:lang w:eastAsia="ja-JP"/>
    </w:rPr>
  </w:style>
  <w:style w:type="paragraph" w:customStyle="1" w:styleId="AufzhlungBuchstabe">
    <w:name w:val="Aufzählung Buchstabe"/>
    <w:basedOn w:val="b2"/>
    <w:link w:val="AufzhlungBuchstabeZchn"/>
    <w:qFormat/>
    <w:rsid w:val="000A4915"/>
    <w:pPr>
      <w:keepNext w:val="0"/>
      <w:numPr>
        <w:ilvl w:val="6"/>
      </w:numPr>
      <w:spacing w:before="0" w:after="0"/>
      <w:outlineLvl w:val="9"/>
    </w:pPr>
    <w:rPr>
      <w:rFonts w:ascii="Times New Roman" w:hAnsi="Times New Roman" w:cs="Times New Roman"/>
      <w:b w:val="0"/>
      <w:szCs w:val="20"/>
    </w:rPr>
  </w:style>
  <w:style w:type="paragraph" w:customStyle="1" w:styleId="AufzhlungBuchstabeFett">
    <w:name w:val="Aufzählung Buchstabe Fett"/>
    <w:basedOn w:val="AufzhlungBuchstabe"/>
    <w:rsid w:val="000A4915"/>
    <w:pPr>
      <w:numPr>
        <w:ilvl w:val="8"/>
      </w:numPr>
      <w:tabs>
        <w:tab w:val="num" w:pos="360"/>
        <w:tab w:val="num" w:pos="6480"/>
      </w:tabs>
      <w:ind w:left="6480" w:hanging="360"/>
    </w:pPr>
    <w:rPr>
      <w:b/>
      <w:bCs/>
      <w:sz w:val="22"/>
    </w:rPr>
  </w:style>
  <w:style w:type="paragraph" w:customStyle="1" w:styleId="AufzhlungBuchstabeKursiv">
    <w:name w:val="Aufzählung Buchstabe Kursiv"/>
    <w:basedOn w:val="AufzhlungBuchstabe"/>
    <w:rsid w:val="000A4915"/>
    <w:pPr>
      <w:numPr>
        <w:ilvl w:val="7"/>
      </w:numPr>
      <w:tabs>
        <w:tab w:val="num" w:pos="360"/>
        <w:tab w:val="num" w:pos="5760"/>
      </w:tabs>
      <w:ind w:left="5760" w:hanging="360"/>
    </w:pPr>
    <w:rPr>
      <w:i/>
      <w:iCs/>
    </w:rPr>
  </w:style>
  <w:style w:type="character" w:customStyle="1" w:styleId="StandardfettnurWort">
    <w:name w:val="Standard fett nur Wort"/>
    <w:basedOn w:val="Absatz-Standardschriftart"/>
    <w:uiPriority w:val="1"/>
    <w:qFormat/>
    <w:rsid w:val="000A4915"/>
    <w:rPr>
      <w:rFonts w:ascii="Verdana" w:hAnsi="Verdana" w:hint="default"/>
      <w:b/>
      <w:bCs w:val="0"/>
      <w:sz w:val="20"/>
    </w:rPr>
  </w:style>
  <w:style w:type="table" w:customStyle="1" w:styleId="TabellefrVergabegrundlage">
    <w:name w:val="Tabelle für Vergabegrundlage"/>
    <w:basedOn w:val="NormaleTabelle"/>
    <w:uiPriority w:val="99"/>
    <w:rsid w:val="000A4915"/>
    <w:rPr>
      <w:rFonts w:ascii="Verdana" w:eastAsiaTheme="minorEastAsia" w:hAnsi="Verdana" w:cstheme="minorBidi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 w:hint="default"/>
        <w:b/>
        <w:sz w:val="20"/>
        <w:szCs w:val="20"/>
      </w:rPr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7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baua.de/DE/Angebote/Rechtstexte-und-Technische-Regeln/Regelwerk/TRGS/TRGS-905.html" TargetMode="External"/><Relationship Id="rId2" Type="http://schemas.openxmlformats.org/officeDocument/2006/relationships/hyperlink" Target="http://echa.europa.eu/de/information-on-chemicals/cl-inventory;jsessionid=DA27CFECE7646B23BCB6C99891C18F7F.live2" TargetMode="External"/><Relationship Id="rId1" Type="http://schemas.openxmlformats.org/officeDocument/2006/relationships/hyperlink" Target="http://echa.europa.eu/web/guest/candidate-list-tabl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526E5-310F-4C72-A753-A1F09C7B5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3</Pages>
  <Words>514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Buttner, Henrike</cp:lastModifiedBy>
  <cp:revision>3</cp:revision>
  <cp:lastPrinted>2013-02-12T10:30:00Z</cp:lastPrinted>
  <dcterms:created xsi:type="dcterms:W3CDTF">2021-02-08T09:40:00Z</dcterms:created>
  <dcterms:modified xsi:type="dcterms:W3CDTF">2021-02-08T11:40:00Z</dcterms:modified>
</cp:coreProperties>
</file>