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1C9FDC14"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688F909B" w14:textId="77777777" w:rsidR="00731E02" w:rsidRPr="00853E69" w:rsidRDefault="00731E02" w:rsidP="0076668E">
            <w:pPr>
              <w:spacing w:line="360" w:lineRule="auto"/>
              <w:jc w:val="center"/>
              <w:rPr>
                <w:rFonts w:cs="Arial"/>
                <w:b/>
                <w:sz w:val="48"/>
                <w:szCs w:val="48"/>
              </w:rPr>
            </w:pPr>
            <w:r>
              <w:rPr>
                <w:b/>
                <w:sz w:val="48"/>
              </w:rPr>
              <w:t>Annex 1 to the contract</w:t>
            </w:r>
          </w:p>
          <w:p w14:paraId="66AB73A8" w14:textId="77777777" w:rsidR="0005479E" w:rsidRPr="0005479E" w:rsidRDefault="00731E02" w:rsidP="000201F5">
            <w:pPr>
              <w:tabs>
                <w:tab w:val="left" w:pos="5670"/>
              </w:tabs>
              <w:jc w:val="center"/>
              <w:rPr>
                <w:rFonts w:cs="Arial"/>
                <w:b/>
              </w:rPr>
            </w:pPr>
            <w:r>
              <w:rPr>
                <w:b/>
              </w:rPr>
              <w:t>according to DE-UZ 217a</w:t>
            </w:r>
            <w:r>
              <w:rPr>
                <w:b/>
              </w:rPr>
              <w:br/>
            </w:r>
            <w:r>
              <w:rPr>
                <w:b/>
              </w:rPr>
              <w:br/>
              <w:t>THIS ANNEX IS FOR: APPLICANTS</w:t>
            </w:r>
          </w:p>
        </w:tc>
        <w:tc>
          <w:tcPr>
            <w:tcW w:w="1701" w:type="dxa"/>
            <w:tcBorders>
              <w:top w:val="single" w:sz="4" w:space="0" w:color="auto"/>
              <w:left w:val="single" w:sz="4" w:space="0" w:color="auto"/>
              <w:bottom w:val="single" w:sz="4" w:space="0" w:color="auto"/>
              <w:right w:val="single" w:sz="4" w:space="0" w:color="auto"/>
            </w:tcBorders>
            <w:vAlign w:val="center"/>
          </w:tcPr>
          <w:p w14:paraId="5A80DCB4" w14:textId="77777777"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14:paraId="3BCABA51" w14:textId="77777777" w:rsidR="00731E02" w:rsidRPr="00F1664D" w:rsidRDefault="00731E02" w:rsidP="00731E02">
      <w:pPr>
        <w:tabs>
          <w:tab w:val="left" w:pos="5670"/>
        </w:tabs>
        <w:rPr>
          <w:rFonts w:cs="Arial"/>
        </w:rPr>
      </w:pPr>
    </w:p>
    <w:p w14:paraId="6B5A811A" w14:textId="77777777" w:rsidR="00A238F1" w:rsidRPr="00F1664D" w:rsidRDefault="00A238F1" w:rsidP="00731E02">
      <w:pPr>
        <w:tabs>
          <w:tab w:val="left" w:pos="5670"/>
        </w:tabs>
        <w:rPr>
          <w:rFonts w:cs="Arial"/>
        </w:rPr>
      </w:pPr>
    </w:p>
    <w:p w14:paraId="0A17ADD2" w14:textId="77777777" w:rsidR="000201F5" w:rsidRDefault="000201F5" w:rsidP="00731E02">
      <w:pPr>
        <w:tabs>
          <w:tab w:val="left" w:pos="5670"/>
        </w:tabs>
        <w:rPr>
          <w:rFonts w:cs="Arial"/>
          <w:b/>
        </w:rPr>
      </w:pPr>
    </w:p>
    <w:p w14:paraId="0496D17B" w14:textId="67258246" w:rsidR="00731E02" w:rsidRPr="0033774E" w:rsidRDefault="00731E02" w:rsidP="0033774E">
      <w:pPr>
        <w:pStyle w:val="VGTitel"/>
        <w:rPr>
          <w:color w:val="auto"/>
          <w:sz w:val="22"/>
          <w:szCs w:val="22"/>
        </w:rPr>
      </w:pPr>
      <w:r>
        <w:rPr>
          <w:color w:val="auto"/>
          <w:sz w:val="22"/>
        </w:rPr>
        <w:t xml:space="preserve">Environmental label for “Paper made from 100% recovered paper for paper bags and </w:t>
      </w:r>
      <w:proofErr w:type="gramStart"/>
      <w:r>
        <w:rPr>
          <w:color w:val="auto"/>
          <w:sz w:val="22"/>
        </w:rPr>
        <w:t>boxes“</w:t>
      </w:r>
      <w:proofErr w:type="gramEnd"/>
    </w:p>
    <w:p w14:paraId="28EF0A5E" w14:textId="77777777" w:rsidR="00A238F1" w:rsidRPr="00F1664D" w:rsidRDefault="00A238F1" w:rsidP="00B25A65">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731E02" w:rsidRPr="00F1664D" w14:paraId="355B71BC" w14:textId="77777777" w:rsidTr="002C3F22">
        <w:trPr>
          <w:trHeight w:hRule="exact" w:val="814"/>
        </w:trPr>
        <w:tc>
          <w:tcPr>
            <w:tcW w:w="4362" w:type="dxa"/>
            <w:shd w:val="clear" w:color="auto" w:fill="auto"/>
          </w:tcPr>
          <w:p w14:paraId="756D71D7" w14:textId="77777777" w:rsidR="00731E02" w:rsidRPr="00F1664D" w:rsidRDefault="003C4396" w:rsidP="0076668E">
            <w:pPr>
              <w:spacing w:before="20" w:after="20"/>
              <w:rPr>
                <w:rFonts w:cs="Arial"/>
                <w:b/>
              </w:rPr>
            </w:pPr>
            <w:r>
              <w:rPr>
                <w:b/>
              </w:rPr>
              <w:t>Applicant:</w:t>
            </w:r>
          </w:p>
          <w:p w14:paraId="02B54011" w14:textId="77777777" w:rsidR="00731E02" w:rsidRPr="00F1664D" w:rsidRDefault="00731E02" w:rsidP="0076668E">
            <w:pPr>
              <w:spacing w:before="20" w:after="20"/>
              <w:rPr>
                <w:rFonts w:cs="Arial"/>
                <w:sz w:val="18"/>
                <w:szCs w:val="18"/>
              </w:rPr>
            </w:pPr>
            <w:r>
              <w:rPr>
                <w:sz w:val="18"/>
              </w:rPr>
              <w:t>(full address)</w:t>
            </w:r>
          </w:p>
        </w:tc>
        <w:tc>
          <w:tcPr>
            <w:tcW w:w="5386" w:type="dxa"/>
            <w:shd w:val="clear" w:color="auto" w:fill="auto"/>
          </w:tcPr>
          <w:p w14:paraId="7E67827F" w14:textId="77777777" w:rsidR="00731E02" w:rsidRDefault="00731E02" w:rsidP="0076668E">
            <w:pPr>
              <w:spacing w:before="20" w:after="20"/>
              <w:rPr>
                <w:rFonts w:cs="Arial"/>
                <w:b/>
              </w:rPr>
            </w:pPr>
            <w:r w:rsidRPr="00F1664D">
              <w:rPr>
                <w:rFonts w:cs="Arial"/>
                <w:b/>
              </w:rPr>
              <w:fldChar w:fldCharType="begin" w:fldLock="1">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Pr>
                <w:b/>
              </w:rPr>
              <w:t>     </w:t>
            </w:r>
            <w:r w:rsidRPr="00F1664D">
              <w:rPr>
                <w:rFonts w:cs="Arial"/>
                <w:b/>
              </w:rPr>
              <w:fldChar w:fldCharType="end"/>
            </w:r>
          </w:p>
          <w:p w14:paraId="6406366D" w14:textId="77777777" w:rsidR="002C3F22" w:rsidRDefault="002C3F22" w:rsidP="0076668E">
            <w:pPr>
              <w:spacing w:before="20" w:after="20"/>
              <w:rPr>
                <w:rFonts w:cs="Arial"/>
                <w:b/>
              </w:rPr>
            </w:pPr>
          </w:p>
          <w:p w14:paraId="5D62E0EB" w14:textId="77777777" w:rsidR="002C3F22" w:rsidRPr="00F1664D" w:rsidRDefault="002C3F22" w:rsidP="0076668E">
            <w:pPr>
              <w:spacing w:before="20" w:after="20"/>
              <w:rPr>
                <w:rFonts w:cs="Arial"/>
                <w:b/>
              </w:rPr>
            </w:pPr>
          </w:p>
        </w:tc>
      </w:tr>
      <w:tr w:rsidR="00731E02" w:rsidRPr="00F1664D" w14:paraId="4000D313" w14:textId="77777777" w:rsidTr="003C4396">
        <w:tc>
          <w:tcPr>
            <w:tcW w:w="4362" w:type="dxa"/>
            <w:shd w:val="clear" w:color="auto" w:fill="auto"/>
          </w:tcPr>
          <w:p w14:paraId="10271563" w14:textId="77777777" w:rsidR="00731E02" w:rsidRPr="00F1664D" w:rsidRDefault="00F1664D" w:rsidP="0076668E">
            <w:pPr>
              <w:spacing w:before="20" w:after="20"/>
              <w:rPr>
                <w:rFonts w:cs="Arial"/>
                <w:b/>
              </w:rPr>
            </w:pPr>
            <w:r>
              <w:rPr>
                <w:b/>
              </w:rPr>
              <w:t>Contact for any questions:</w:t>
            </w:r>
          </w:p>
        </w:tc>
        <w:tc>
          <w:tcPr>
            <w:tcW w:w="5386" w:type="dxa"/>
            <w:shd w:val="clear" w:color="auto" w:fill="auto"/>
          </w:tcPr>
          <w:p w14:paraId="466C3382" w14:textId="77777777" w:rsidR="00731E02" w:rsidRPr="00F1664D" w:rsidRDefault="00F1664D" w:rsidP="0076668E">
            <w:pPr>
              <w:spacing w:before="20" w:after="20"/>
              <w:rPr>
                <w:rFonts w:cs="Arial"/>
              </w:rPr>
            </w:pPr>
            <w:r>
              <w:rPr>
                <w:rFonts w:cs="Arial"/>
              </w:rPr>
              <w:fldChar w:fldCharType="begin" w:fldLock="1">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t>     </w:t>
            </w:r>
            <w:r>
              <w:rPr>
                <w:rFonts w:cs="Arial"/>
              </w:rPr>
              <w:fldChar w:fldCharType="end"/>
            </w:r>
            <w:bookmarkEnd w:id="0"/>
          </w:p>
        </w:tc>
      </w:tr>
      <w:tr w:rsidR="00F1664D" w:rsidRPr="00F1664D" w14:paraId="645C37AC" w14:textId="77777777" w:rsidTr="003C4396">
        <w:tc>
          <w:tcPr>
            <w:tcW w:w="4362" w:type="dxa"/>
            <w:shd w:val="clear" w:color="auto" w:fill="auto"/>
          </w:tcPr>
          <w:p w14:paraId="7AAE595D" w14:textId="77777777" w:rsidR="00F1664D" w:rsidRPr="00F1664D" w:rsidRDefault="00F1664D" w:rsidP="00F1664D">
            <w:pPr>
              <w:spacing w:before="20" w:after="20"/>
              <w:jc w:val="center"/>
              <w:rPr>
                <w:rFonts w:cs="Arial"/>
                <w:b/>
              </w:rPr>
            </w:pPr>
            <w:r>
              <w:rPr>
                <w:b/>
              </w:rPr>
              <w:t>E-mail address:</w:t>
            </w:r>
          </w:p>
        </w:tc>
        <w:tc>
          <w:tcPr>
            <w:tcW w:w="5386" w:type="dxa"/>
            <w:shd w:val="clear" w:color="auto" w:fill="auto"/>
          </w:tcPr>
          <w:p w14:paraId="0DA74058" w14:textId="77777777" w:rsidR="00F1664D" w:rsidRPr="00F1664D" w:rsidRDefault="00F1664D" w:rsidP="0076668E">
            <w:pPr>
              <w:spacing w:before="20" w:after="20"/>
              <w:rPr>
                <w:rFonts w:cs="Arial"/>
              </w:rPr>
            </w:pPr>
            <w:r>
              <w:rPr>
                <w:rFonts w:cs="Arial"/>
              </w:rPr>
              <w:fldChar w:fldCharType="begin" w:fldLock="1">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t>     </w:t>
            </w:r>
            <w:r>
              <w:rPr>
                <w:rFonts w:cs="Arial"/>
              </w:rPr>
              <w:fldChar w:fldCharType="end"/>
            </w:r>
            <w:bookmarkEnd w:id="1"/>
          </w:p>
        </w:tc>
      </w:tr>
      <w:tr w:rsidR="00F1664D" w:rsidRPr="00F1664D" w14:paraId="511D9393" w14:textId="77777777" w:rsidTr="003C4396">
        <w:tc>
          <w:tcPr>
            <w:tcW w:w="4362" w:type="dxa"/>
            <w:shd w:val="clear" w:color="auto" w:fill="auto"/>
          </w:tcPr>
          <w:p w14:paraId="40D0BB2B" w14:textId="77777777" w:rsidR="00F1664D" w:rsidRPr="00F1664D" w:rsidRDefault="00F1664D" w:rsidP="00F1664D">
            <w:pPr>
              <w:spacing w:before="20" w:after="20"/>
              <w:jc w:val="center"/>
              <w:rPr>
                <w:rFonts w:cs="Arial"/>
                <w:b/>
              </w:rPr>
            </w:pPr>
            <w:r>
              <w:rPr>
                <w:b/>
              </w:rPr>
              <w:t>Telephone:</w:t>
            </w:r>
          </w:p>
        </w:tc>
        <w:tc>
          <w:tcPr>
            <w:tcW w:w="5386" w:type="dxa"/>
            <w:shd w:val="clear" w:color="auto" w:fill="auto"/>
          </w:tcPr>
          <w:p w14:paraId="22A939DD" w14:textId="77777777" w:rsidR="00F1664D" w:rsidRDefault="00F1664D" w:rsidP="0076668E">
            <w:pPr>
              <w:spacing w:before="20" w:after="20"/>
              <w:rPr>
                <w:rFonts w:cs="Arial"/>
              </w:rPr>
            </w:pPr>
            <w:r>
              <w:rPr>
                <w:rFonts w:cs="Arial"/>
              </w:rPr>
              <w:fldChar w:fldCharType="begin" w:fldLock="1">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t>     </w:t>
            </w:r>
            <w:r>
              <w:rPr>
                <w:rFonts w:cs="Arial"/>
              </w:rPr>
              <w:fldChar w:fldCharType="end"/>
            </w:r>
            <w:bookmarkEnd w:id="2"/>
          </w:p>
        </w:tc>
      </w:tr>
      <w:tr w:rsidR="00731E02" w:rsidRPr="00F1664D" w14:paraId="29F7A4FF" w14:textId="77777777" w:rsidTr="00546FB1">
        <w:trPr>
          <w:trHeight w:val="571"/>
        </w:trPr>
        <w:tc>
          <w:tcPr>
            <w:tcW w:w="4362" w:type="dxa"/>
            <w:shd w:val="clear" w:color="auto" w:fill="auto"/>
          </w:tcPr>
          <w:p w14:paraId="76B34265" w14:textId="77777777" w:rsidR="00731E02" w:rsidRPr="00F1664D" w:rsidRDefault="00296107" w:rsidP="0076668E">
            <w:pPr>
              <w:spacing w:before="20" w:after="20"/>
              <w:rPr>
                <w:rFonts w:cs="Arial"/>
                <w:b/>
              </w:rPr>
            </w:pPr>
            <w:r>
              <w:rPr>
                <w:b/>
              </w:rPr>
              <w:t>Trade name of the product:</w:t>
            </w:r>
          </w:p>
          <w:p w14:paraId="56070E48" w14:textId="77777777" w:rsidR="00BC56EF" w:rsidRPr="00F1664D" w:rsidRDefault="00BC56EF" w:rsidP="00F1664D">
            <w:pPr>
              <w:spacing w:before="20" w:after="20"/>
              <w:rPr>
                <w:rFonts w:cs="Arial"/>
                <w:b/>
                <w:sz w:val="18"/>
                <w:szCs w:val="18"/>
              </w:rPr>
            </w:pPr>
          </w:p>
        </w:tc>
        <w:tc>
          <w:tcPr>
            <w:tcW w:w="5386" w:type="dxa"/>
            <w:shd w:val="clear" w:color="auto" w:fill="auto"/>
          </w:tcPr>
          <w:p w14:paraId="67BBC814" w14:textId="77777777" w:rsidR="00731E02" w:rsidRPr="00F1664D" w:rsidRDefault="00731E02" w:rsidP="0076668E">
            <w:pPr>
              <w:spacing w:before="20" w:after="20"/>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3C4396" w:rsidRPr="00F1664D" w14:paraId="5DEAEA40" w14:textId="77777777" w:rsidTr="00083395">
        <w:trPr>
          <w:trHeight w:val="636"/>
        </w:trPr>
        <w:tc>
          <w:tcPr>
            <w:tcW w:w="4362" w:type="dxa"/>
            <w:shd w:val="clear" w:color="auto" w:fill="auto"/>
          </w:tcPr>
          <w:p w14:paraId="1C819C89" w14:textId="77777777" w:rsidR="003C4396" w:rsidRPr="00F1664D" w:rsidRDefault="003C4396" w:rsidP="0076668E">
            <w:pPr>
              <w:spacing w:before="20" w:after="20"/>
              <w:rPr>
                <w:rFonts w:cs="Arial"/>
                <w:b/>
              </w:rPr>
            </w:pPr>
            <w:r>
              <w:rPr>
                <w:b/>
              </w:rPr>
              <w:t xml:space="preserve">Functional description of the product </w:t>
            </w:r>
            <w:r>
              <w:rPr>
                <w:sz w:val="18"/>
              </w:rPr>
              <w:t>(e.g. masking paper, test liner, etc.)</w:t>
            </w:r>
            <w:r>
              <w:rPr>
                <w:b/>
                <w:sz w:val="18"/>
              </w:rPr>
              <w:t>:</w:t>
            </w:r>
          </w:p>
        </w:tc>
        <w:tc>
          <w:tcPr>
            <w:tcW w:w="5386" w:type="dxa"/>
            <w:shd w:val="clear" w:color="auto" w:fill="auto"/>
          </w:tcPr>
          <w:p w14:paraId="335EFBB4" w14:textId="77777777" w:rsidR="003C4396" w:rsidRPr="00F1664D" w:rsidRDefault="003C4396" w:rsidP="0076668E">
            <w:pPr>
              <w:spacing w:before="20" w:after="20"/>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rsidRPr="00F1664D">
              <w:rPr>
                <w:rFonts w:cs="Arial"/>
              </w:rPr>
              <w:fldChar w:fldCharType="end"/>
            </w:r>
          </w:p>
        </w:tc>
      </w:tr>
      <w:tr w:rsidR="00C35DEF" w:rsidRPr="00F1664D" w14:paraId="7EE9A7C9" w14:textId="77777777" w:rsidTr="003C4396">
        <w:trPr>
          <w:trHeight w:val="737"/>
        </w:trPr>
        <w:tc>
          <w:tcPr>
            <w:tcW w:w="4362" w:type="dxa"/>
            <w:shd w:val="clear" w:color="auto" w:fill="auto"/>
          </w:tcPr>
          <w:p w14:paraId="18298C7E" w14:textId="77777777" w:rsidR="00F01D1E" w:rsidRDefault="00C35DEF" w:rsidP="0076668E">
            <w:pPr>
              <w:spacing w:before="20" w:after="20"/>
              <w:rPr>
                <w:rFonts w:cs="Arial"/>
                <w:b/>
              </w:rPr>
            </w:pPr>
            <w:r>
              <w:rPr>
                <w:b/>
              </w:rPr>
              <w:t>Distributor:</w:t>
            </w:r>
          </w:p>
          <w:p w14:paraId="0CFF7F30" w14:textId="77777777" w:rsidR="00C35DEF" w:rsidRDefault="00F01D1E" w:rsidP="0076668E">
            <w:pPr>
              <w:spacing w:before="20" w:after="20"/>
              <w:rPr>
                <w:rFonts w:cs="Arial"/>
                <w:b/>
              </w:rPr>
            </w:pPr>
            <w:r>
              <w:rPr>
                <w:sz w:val="18"/>
              </w:rPr>
              <w:t>(full address)</w:t>
            </w:r>
            <w:r>
              <w:rPr>
                <w:sz w:val="18"/>
              </w:rPr>
              <w:br/>
              <w:t>(the distributor using the label for advertising purposes)</w:t>
            </w:r>
          </w:p>
        </w:tc>
        <w:tc>
          <w:tcPr>
            <w:tcW w:w="5386" w:type="dxa"/>
            <w:shd w:val="clear" w:color="auto" w:fill="auto"/>
          </w:tcPr>
          <w:p w14:paraId="40BF1DDE" w14:textId="77777777" w:rsidR="00C35DEF" w:rsidRPr="00F1664D" w:rsidRDefault="00C35DEF" w:rsidP="0076668E">
            <w:pPr>
              <w:spacing w:before="20" w:after="20"/>
              <w:rPr>
                <w:rFonts w:cs="Arial"/>
              </w:rPr>
            </w:pPr>
          </w:p>
        </w:tc>
      </w:tr>
    </w:tbl>
    <w:p w14:paraId="64D6B790" w14:textId="77777777" w:rsidR="005408E9" w:rsidRPr="00F1664D" w:rsidRDefault="005408E9" w:rsidP="00B25A65">
      <w:pPr>
        <w:rPr>
          <w:rFonts w:cs="Arial"/>
        </w:rPr>
      </w:pPr>
    </w:p>
    <w:p w14:paraId="1C4CFEBC" w14:textId="77777777" w:rsidR="00A238F1" w:rsidRPr="00F1664D" w:rsidRDefault="00A238F1" w:rsidP="00B25A65">
      <w:pPr>
        <w:rPr>
          <w:rFonts w:cs="Arial"/>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2"/>
        <w:gridCol w:w="8610"/>
      </w:tblGrid>
      <w:tr w:rsidR="003C4396" w:rsidRPr="00617886" w14:paraId="09AC2B8D" w14:textId="77777777" w:rsidTr="00E141F6">
        <w:trPr>
          <w:trHeight w:val="349"/>
        </w:trPr>
        <w:tc>
          <w:tcPr>
            <w:tcW w:w="1231" w:type="dxa"/>
            <w:shd w:val="clear" w:color="auto" w:fill="auto"/>
          </w:tcPr>
          <w:p w14:paraId="2B531578" w14:textId="77777777" w:rsidR="003C4396" w:rsidRPr="00617886" w:rsidRDefault="002C3F22" w:rsidP="004751AD">
            <w:pPr>
              <w:pStyle w:val="Textkrper"/>
              <w:tabs>
                <w:tab w:val="left" w:pos="8222"/>
              </w:tabs>
              <w:spacing w:line="240" w:lineRule="auto"/>
              <w:jc w:val="left"/>
              <w:rPr>
                <w:rFonts w:ascii="Verdana" w:hAnsi="Verdana"/>
                <w:b/>
                <w:sz w:val="20"/>
                <w:szCs w:val="20"/>
              </w:rPr>
            </w:pPr>
            <w:r>
              <w:rPr>
                <w:rFonts w:ascii="Verdana" w:hAnsi="Verdana"/>
                <w:b/>
                <w:sz w:val="20"/>
              </w:rPr>
              <w:t>Paragraph:</w:t>
            </w:r>
          </w:p>
        </w:tc>
        <w:tc>
          <w:tcPr>
            <w:tcW w:w="8581" w:type="dxa"/>
            <w:shd w:val="clear" w:color="auto" w:fill="auto"/>
          </w:tcPr>
          <w:p w14:paraId="2D6B5517" w14:textId="77777777" w:rsidR="003C4396" w:rsidRPr="00617886" w:rsidRDefault="003C4396" w:rsidP="001762C3">
            <w:pPr>
              <w:pStyle w:val="Textkrper"/>
              <w:tabs>
                <w:tab w:val="left" w:pos="8222"/>
              </w:tabs>
              <w:spacing w:line="240" w:lineRule="auto"/>
              <w:jc w:val="left"/>
              <w:rPr>
                <w:rFonts w:ascii="Verdana" w:hAnsi="Verdana"/>
                <w:sz w:val="20"/>
                <w:szCs w:val="20"/>
              </w:rPr>
            </w:pPr>
            <w:r>
              <w:rPr>
                <w:rFonts w:ascii="Verdana" w:hAnsi="Verdana"/>
                <w:sz w:val="20"/>
              </w:rPr>
              <w:t>We hereby declare that</w:t>
            </w:r>
          </w:p>
        </w:tc>
      </w:tr>
      <w:tr w:rsidR="00420FE8" w:rsidRPr="00617886" w14:paraId="5980491D" w14:textId="77777777" w:rsidTr="00E141F6">
        <w:trPr>
          <w:trHeight w:val="516"/>
        </w:trPr>
        <w:tc>
          <w:tcPr>
            <w:tcW w:w="1231" w:type="dxa"/>
            <w:shd w:val="clear" w:color="auto" w:fill="auto"/>
          </w:tcPr>
          <w:p w14:paraId="2D0F6BAF" w14:textId="77777777" w:rsidR="00420FE8" w:rsidRPr="00617886" w:rsidRDefault="00420FE8" w:rsidP="00420FE8">
            <w:pPr>
              <w:pStyle w:val="Textkrper"/>
              <w:tabs>
                <w:tab w:val="left" w:pos="8222"/>
              </w:tabs>
              <w:spacing w:line="240" w:lineRule="auto"/>
              <w:jc w:val="left"/>
              <w:rPr>
                <w:rFonts w:ascii="Verdana" w:hAnsi="Verdana"/>
                <w:b/>
                <w:sz w:val="20"/>
                <w:szCs w:val="20"/>
              </w:rPr>
            </w:pPr>
            <w:r>
              <w:rPr>
                <w:rFonts w:ascii="Verdana" w:hAnsi="Verdana"/>
                <w:b/>
                <w:sz w:val="20"/>
              </w:rPr>
              <w:t>3.1</w:t>
            </w:r>
          </w:p>
        </w:tc>
        <w:tc>
          <w:tcPr>
            <w:tcW w:w="8581" w:type="dxa"/>
            <w:shd w:val="clear" w:color="auto" w:fill="auto"/>
          </w:tcPr>
          <w:p w14:paraId="59CE94BF" w14:textId="77777777" w:rsidR="00420FE8" w:rsidRDefault="00120964" w:rsidP="00233632">
            <w:r>
              <w:t>- the paper fibres in the recycled paper (white/brown) were sourced 100% from recovered paper,</w:t>
            </w:r>
          </w:p>
          <w:p w14:paraId="43A2D98A" w14:textId="34F944BB" w:rsidR="001D73C7" w:rsidRPr="00617886" w:rsidRDefault="001D73C7" w:rsidP="00233632"/>
        </w:tc>
      </w:tr>
      <w:tr w:rsidR="004751AD" w:rsidRPr="00617886" w14:paraId="418D8EBB" w14:textId="77777777" w:rsidTr="00E141F6">
        <w:trPr>
          <w:trHeight w:val="516"/>
        </w:trPr>
        <w:tc>
          <w:tcPr>
            <w:tcW w:w="1231" w:type="dxa"/>
            <w:shd w:val="clear" w:color="auto" w:fill="auto"/>
          </w:tcPr>
          <w:p w14:paraId="2981D067" w14:textId="77777777" w:rsidR="004751AD" w:rsidRPr="00617886" w:rsidRDefault="004751AD" w:rsidP="00420FE8">
            <w:pPr>
              <w:pStyle w:val="Textkrper"/>
              <w:tabs>
                <w:tab w:val="left" w:pos="8222"/>
              </w:tabs>
              <w:spacing w:line="240" w:lineRule="auto"/>
              <w:jc w:val="left"/>
              <w:rPr>
                <w:rFonts w:ascii="Verdana" w:hAnsi="Verdana"/>
                <w:b/>
                <w:sz w:val="20"/>
                <w:szCs w:val="20"/>
              </w:rPr>
            </w:pPr>
          </w:p>
        </w:tc>
        <w:tc>
          <w:tcPr>
            <w:tcW w:w="8581" w:type="dxa"/>
            <w:shd w:val="clear" w:color="auto" w:fill="auto"/>
          </w:tcPr>
          <w:p w14:paraId="7424C459" w14:textId="4C326F52" w:rsidR="004751AD" w:rsidRPr="00617886" w:rsidRDefault="004751AD" w:rsidP="006E7D67">
            <w:pPr>
              <w:pStyle w:val="Textkrper"/>
              <w:numPr>
                <w:ilvl w:val="0"/>
                <w:numId w:val="33"/>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rPr>
              <w:t>only those types of fibres defined according to DIN EN 643:2014-11 were added,</w:t>
            </w:r>
            <w:r>
              <w:rPr>
                <w:rFonts w:ascii="Verdana" w:hAnsi="Verdana"/>
                <w:sz w:val="20"/>
              </w:rPr>
              <w:br/>
            </w:r>
          </w:p>
        </w:tc>
      </w:tr>
      <w:tr w:rsidR="00420FE8" w:rsidRPr="00617886" w14:paraId="61DBB833" w14:textId="77777777" w:rsidTr="00E141F6">
        <w:tc>
          <w:tcPr>
            <w:tcW w:w="1231" w:type="dxa"/>
            <w:shd w:val="clear" w:color="auto" w:fill="auto"/>
          </w:tcPr>
          <w:p w14:paraId="6EA97446" w14:textId="77777777" w:rsidR="00420FE8" w:rsidRPr="00617886" w:rsidRDefault="00420FE8" w:rsidP="00420FE8">
            <w:pPr>
              <w:pStyle w:val="Textkrper"/>
              <w:tabs>
                <w:tab w:val="left" w:pos="8222"/>
              </w:tabs>
              <w:spacing w:line="240" w:lineRule="auto"/>
              <w:jc w:val="left"/>
              <w:rPr>
                <w:rFonts w:ascii="Verdana" w:hAnsi="Verdana"/>
                <w:b/>
                <w:sz w:val="20"/>
                <w:szCs w:val="20"/>
              </w:rPr>
            </w:pPr>
          </w:p>
        </w:tc>
        <w:tc>
          <w:tcPr>
            <w:tcW w:w="8581" w:type="dxa"/>
            <w:shd w:val="clear" w:color="auto" w:fill="auto"/>
          </w:tcPr>
          <w:p w14:paraId="75DE812F" w14:textId="1C7BB026" w:rsidR="00321989" w:rsidRPr="00617886" w:rsidRDefault="00420FE8" w:rsidP="00233632">
            <w:r>
              <w:t>- for the production of the products, a maximum of 35% of the recovered paper – based on the total content of fibrous raw materials – was sourced from the better grades (group 3) and at least 65% of the recovered paper – based on the total content of fibrous raw materials – was sourced from the ordinary, medium and kraft paper grades and special grades (groups 1, 2, 4 and 5);</w:t>
            </w:r>
          </w:p>
          <w:p w14:paraId="740EEDAB" w14:textId="2B2A6D50" w:rsidR="00233632" w:rsidRPr="00617886" w:rsidRDefault="00321989" w:rsidP="00233632">
            <w:pPr>
              <w:rPr>
                <w:color w:val="auto"/>
              </w:rPr>
            </w:pPr>
            <w:r>
              <w:t>- if the grades 2.05.00 ordinary sorted office paper, 2.05.01 sorted office paper, 2.06.00 ordinary sorted coloured letters, 2.06.01 sorted coloured letters, 3.05.01 white wood free letters unprinted, 3.06.00 white business forms and 5.09.00 carbonless copy paper (NCR) were used, the product complies with the requirement according to Paragraph 3.2 (DIPN content),</w:t>
            </w:r>
          </w:p>
          <w:p w14:paraId="7BC0B43A" w14:textId="62F5F793" w:rsidR="00321989" w:rsidRPr="00617886" w:rsidRDefault="00321989" w:rsidP="00321989">
            <w:r>
              <w:br/>
              <w:t xml:space="preserve">- recovered paper that is processed to produce items that come into contact with food (food packaging, etc.) was not sourced from general waste sorting plants or multi-component collection processes, </w:t>
            </w:r>
          </w:p>
          <w:p w14:paraId="2ACEFFB2" w14:textId="77777777" w:rsidR="00321989" w:rsidRPr="00617886" w:rsidRDefault="00321989" w:rsidP="00321989"/>
          <w:p w14:paraId="4F0DDCC8" w14:textId="0E9BF241" w:rsidR="00420FE8" w:rsidRPr="00E141F6" w:rsidRDefault="00321989" w:rsidP="00E141F6">
            <w:pPr>
              <w:pStyle w:val="Listenabsatz"/>
              <w:numPr>
                <w:ilvl w:val="0"/>
                <w:numId w:val="33"/>
              </w:numPr>
              <w:rPr>
                <w:color w:val="auto"/>
              </w:rPr>
            </w:pPr>
            <w:r>
              <w:t>the grade 5.01.00 (mixed papers) was not added to the product,</w:t>
            </w:r>
          </w:p>
        </w:tc>
      </w:tr>
      <w:tr w:rsidR="00321989" w:rsidRPr="00617886" w14:paraId="4DEDDB0C" w14:textId="77777777" w:rsidTr="00E141F6">
        <w:tc>
          <w:tcPr>
            <w:tcW w:w="1231" w:type="dxa"/>
            <w:shd w:val="clear" w:color="auto" w:fill="auto"/>
          </w:tcPr>
          <w:p w14:paraId="45366AAC" w14:textId="77777777" w:rsidR="00321989" w:rsidRPr="00617886" w:rsidRDefault="00321989" w:rsidP="00420FE8">
            <w:pPr>
              <w:pStyle w:val="Textkrper"/>
              <w:tabs>
                <w:tab w:val="left" w:pos="8222"/>
              </w:tabs>
              <w:spacing w:line="240" w:lineRule="auto"/>
              <w:jc w:val="left"/>
              <w:rPr>
                <w:rFonts w:ascii="Verdana" w:hAnsi="Verdana"/>
                <w:b/>
                <w:sz w:val="20"/>
                <w:szCs w:val="20"/>
              </w:rPr>
            </w:pPr>
            <w:r>
              <w:rPr>
                <w:rFonts w:ascii="Verdana" w:hAnsi="Verdana"/>
                <w:b/>
                <w:sz w:val="20"/>
              </w:rPr>
              <w:lastRenderedPageBreak/>
              <w:t>3.2</w:t>
            </w:r>
          </w:p>
        </w:tc>
        <w:tc>
          <w:tcPr>
            <w:tcW w:w="8581" w:type="dxa"/>
            <w:shd w:val="clear" w:color="auto" w:fill="auto"/>
          </w:tcPr>
          <w:p w14:paraId="786756BA" w14:textId="77777777" w:rsidR="00321989" w:rsidRDefault="00321989" w:rsidP="00233632">
            <w:r>
              <w:t>- if grades of recovered paper containing DIPN (2.05.00, 2.05.01 2.06.00, 2.06.01, 3.05.01, 3.06.00 and 5.09.00) were used as an alternative, an efficient technical system (e.g. deinking) exists that largely removes the DIPN from the fibre cycle and the DIPN content in the finished paper does not exceed a maximum of 50 mg/kg,</w:t>
            </w:r>
          </w:p>
          <w:p w14:paraId="53A722C6" w14:textId="748A4AE0" w:rsidR="00613E20" w:rsidRPr="00617886" w:rsidRDefault="00613E20" w:rsidP="00233632"/>
        </w:tc>
      </w:tr>
      <w:tr w:rsidR="00420FE8" w:rsidRPr="00617886" w14:paraId="0E3BC5AD" w14:textId="77777777" w:rsidTr="00E141F6">
        <w:tc>
          <w:tcPr>
            <w:tcW w:w="1231" w:type="dxa"/>
            <w:shd w:val="clear" w:color="auto" w:fill="auto"/>
          </w:tcPr>
          <w:p w14:paraId="38F94263" w14:textId="77777777" w:rsidR="00420FE8" w:rsidRPr="00617886" w:rsidRDefault="00420FE8" w:rsidP="00420FE8">
            <w:pPr>
              <w:pStyle w:val="Textkrper"/>
              <w:tabs>
                <w:tab w:val="left" w:pos="8222"/>
              </w:tabs>
              <w:spacing w:line="240" w:lineRule="auto"/>
              <w:jc w:val="left"/>
              <w:rPr>
                <w:rFonts w:ascii="Verdana" w:hAnsi="Verdana"/>
                <w:b/>
                <w:sz w:val="20"/>
                <w:szCs w:val="20"/>
              </w:rPr>
            </w:pPr>
            <w:r>
              <w:rPr>
                <w:rFonts w:ascii="Verdana" w:hAnsi="Verdana"/>
                <w:b/>
                <w:sz w:val="20"/>
              </w:rPr>
              <w:t>3.3</w:t>
            </w:r>
          </w:p>
        </w:tc>
        <w:tc>
          <w:tcPr>
            <w:tcW w:w="8581" w:type="dxa"/>
            <w:shd w:val="clear" w:color="auto" w:fill="auto"/>
          </w:tcPr>
          <w:p w14:paraId="4D74A070" w14:textId="77777777" w:rsidR="00420FE8" w:rsidRPr="00617886" w:rsidRDefault="00420FE8" w:rsidP="006E7D67">
            <w:pPr>
              <w:pStyle w:val="Textkrpe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rPr>
              <w:t>- the content of bisphenol A and bisphenol S will be determined once a year for statistical purposes by an independent testing institution (certified according to ISO 17025) and submitted to RAL gGmbH,</w:t>
            </w:r>
            <w:r>
              <w:rPr>
                <w:rFonts w:ascii="Verdana" w:hAnsi="Verdana"/>
                <w:sz w:val="20"/>
              </w:rPr>
              <w:br/>
            </w:r>
          </w:p>
        </w:tc>
      </w:tr>
      <w:tr w:rsidR="00015641" w:rsidRPr="00617886" w14:paraId="2AD7B10A" w14:textId="77777777" w:rsidTr="00E141F6">
        <w:tc>
          <w:tcPr>
            <w:tcW w:w="1231" w:type="dxa"/>
            <w:shd w:val="clear" w:color="auto" w:fill="auto"/>
          </w:tcPr>
          <w:p w14:paraId="261B4149" w14:textId="75455C5D" w:rsidR="00015641" w:rsidRPr="00617886" w:rsidRDefault="0033774E" w:rsidP="00420FE8">
            <w:pPr>
              <w:pStyle w:val="Textkrper"/>
              <w:tabs>
                <w:tab w:val="left" w:pos="8222"/>
              </w:tabs>
              <w:spacing w:line="240" w:lineRule="auto"/>
              <w:jc w:val="left"/>
              <w:rPr>
                <w:rFonts w:ascii="Verdana" w:hAnsi="Verdana"/>
                <w:b/>
                <w:sz w:val="20"/>
                <w:szCs w:val="20"/>
              </w:rPr>
            </w:pPr>
            <w:r>
              <w:rPr>
                <w:rFonts w:ascii="Verdana" w:hAnsi="Verdana"/>
                <w:b/>
                <w:sz w:val="20"/>
              </w:rPr>
              <w:t>3.4</w:t>
            </w:r>
          </w:p>
        </w:tc>
        <w:tc>
          <w:tcPr>
            <w:tcW w:w="8581" w:type="dxa"/>
            <w:shd w:val="clear" w:color="auto" w:fill="auto"/>
          </w:tcPr>
          <w:p w14:paraId="7EA45346" w14:textId="79614E7D" w:rsidR="00015641" w:rsidRPr="00617886" w:rsidRDefault="008D74D6" w:rsidP="00015641">
            <w:pPr>
              <w:rPr>
                <w:color w:val="auto"/>
              </w:rPr>
            </w:pPr>
            <w:r>
              <w:t>no substances were added as colourants, production aids and paper refining agents that contain constituent components with the following properties:</w:t>
            </w:r>
          </w:p>
          <w:p w14:paraId="011BA8C2" w14:textId="77777777" w:rsidR="00015641" w:rsidRPr="00617886" w:rsidRDefault="00015641" w:rsidP="00015641"/>
          <w:p w14:paraId="1D25C590" w14:textId="014FA706" w:rsidR="00015641" w:rsidRPr="00617886" w:rsidRDefault="008D74D6" w:rsidP="00015641">
            <w:pPr>
              <w:pStyle w:val="AufzhlungBuchstabe"/>
            </w:pPr>
            <w:r>
              <w:t>no substances of very high concern (SVHC) that are included in the so-called “list of candidates” according to Article 59, Paragraph 1 of the REACH regulation (EC/1907/2006)</w:t>
            </w:r>
            <w:r w:rsidR="00015641" w:rsidRPr="00617886">
              <w:rPr>
                <w:rStyle w:val="Funotenzeichen"/>
              </w:rPr>
              <w:footnoteReference w:id="1"/>
            </w:r>
            <w:r>
              <w:t xml:space="preserve"> have been added to the product.</w:t>
            </w:r>
          </w:p>
          <w:p w14:paraId="4D18E9CC" w14:textId="64763D9F" w:rsidR="00015641" w:rsidRPr="00617886" w:rsidRDefault="008D74D6" w:rsidP="00015641">
            <w:pPr>
              <w:pStyle w:val="AufzhlungBuchstabe"/>
              <w:autoSpaceDE w:val="0"/>
              <w:autoSpaceDN w:val="0"/>
              <w:adjustRightInd w:val="0"/>
              <w:jc w:val="left"/>
              <w:rPr>
                <w:rFonts w:eastAsiaTheme="minorHAnsi" w:cs="Verdana"/>
                <w:color w:val="000000"/>
              </w:rPr>
            </w:pPr>
            <w:r>
              <w:t xml:space="preserve">No substances were added to the product that </w:t>
            </w:r>
          </w:p>
          <w:p w14:paraId="4FCE1D33" w14:textId="77777777" w:rsidR="00015641" w:rsidRPr="00617886" w:rsidRDefault="00015641" w:rsidP="00015641">
            <w:pPr>
              <w:pStyle w:val="AufzhlungPunkt1"/>
              <w:rPr>
                <w:rFonts w:cstheme="minorBidi"/>
              </w:rPr>
            </w:pPr>
            <w:r>
              <w:t>according to the criteria of Regulation (EC) No 1272/2008 (CLP Regulation) are classified with the following H Phrases named in Table 3-1 or which meet the criteria for such classification or</w:t>
            </w:r>
          </w:p>
          <w:p w14:paraId="314306D8" w14:textId="4ADD7075" w:rsidR="00015641" w:rsidRPr="00617886" w:rsidRDefault="00015641" w:rsidP="00015641">
            <w:pPr>
              <w:pStyle w:val="AufzhlungPunkt1"/>
            </w:pPr>
            <w:r>
              <w:t>are classified as carcinogenic, mutagenic or reprotoxic substances in the currently valid version of TRGS 905</w:t>
            </w:r>
            <w:r w:rsidRPr="00617886">
              <w:rPr>
                <w:rStyle w:val="Hochgestellt"/>
              </w:rPr>
              <w:footnoteReference w:id="2"/>
            </w:r>
            <w:r>
              <w:t>,</w:t>
            </w:r>
          </w:p>
          <w:p w14:paraId="736A53B9" w14:textId="77777777" w:rsidR="00015641" w:rsidRPr="00617886" w:rsidRDefault="00015641" w:rsidP="00015641">
            <w:pPr>
              <w:pStyle w:val="Nachweisberschrift"/>
              <w:spacing w:before="240"/>
              <w:rPr>
                <w:b w:val="0"/>
                <w:i w:val="0"/>
              </w:rPr>
            </w:pPr>
            <w:r>
              <w:rPr>
                <w:b w:val="0"/>
                <w:i w:val="0"/>
              </w:rPr>
              <w:t>Table 3-1: H Phrases according to the CLP Regulation</w:t>
            </w:r>
          </w:p>
          <w:tbl>
            <w:tblPr>
              <w:tblStyle w:val="TabellefrVergabegrundlageKopfzeilegrau"/>
              <w:tblW w:w="8384" w:type="dxa"/>
              <w:tblInd w:w="0" w:type="dxa"/>
              <w:tblLook w:val="01E0" w:firstRow="1" w:lastRow="1" w:firstColumn="1" w:lastColumn="1" w:noHBand="0" w:noVBand="0"/>
            </w:tblPr>
            <w:tblGrid>
              <w:gridCol w:w="2547"/>
              <w:gridCol w:w="5837"/>
            </w:tblGrid>
            <w:tr w:rsidR="00015641" w:rsidRPr="00617886" w14:paraId="0C64009A" w14:textId="77777777" w:rsidTr="00120964">
              <w:trPr>
                <w:cnfStyle w:val="100000000000" w:firstRow="1" w:lastRow="0" w:firstColumn="0" w:lastColumn="0" w:oddVBand="0" w:evenVBand="0" w:oddHBand="0" w:evenHBand="0" w:firstRowFirstColumn="0" w:firstRowLastColumn="0" w:lastRowFirstColumn="0" w:lastRowLastColumn="0"/>
                <w:tblHeader/>
              </w:trPr>
              <w:tc>
                <w:tcPr>
                  <w:tcW w:w="2547" w:type="dxa"/>
                  <w:tcBorders>
                    <w:top w:val="single" w:sz="4" w:space="0" w:color="auto"/>
                    <w:left w:val="single" w:sz="4" w:space="0" w:color="auto"/>
                    <w:bottom w:val="single" w:sz="4" w:space="0" w:color="auto"/>
                    <w:right w:val="single" w:sz="4" w:space="0" w:color="auto"/>
                  </w:tcBorders>
                  <w:hideMark/>
                </w:tcPr>
                <w:p w14:paraId="511AD671" w14:textId="77777777" w:rsidR="00015641" w:rsidRPr="00617886" w:rsidRDefault="00015641" w:rsidP="00015641">
                  <w:pPr>
                    <w:pStyle w:val="Standardfett"/>
                    <w:jc w:val="left"/>
                  </w:pPr>
                  <w:r>
                    <w:t xml:space="preserve"> H Phrases according to the CLP Regulation</w:t>
                  </w:r>
                </w:p>
              </w:tc>
              <w:tc>
                <w:tcPr>
                  <w:tcW w:w="5837" w:type="dxa"/>
                  <w:tcBorders>
                    <w:top w:val="single" w:sz="4" w:space="0" w:color="auto"/>
                    <w:left w:val="single" w:sz="4" w:space="0" w:color="auto"/>
                    <w:bottom w:val="single" w:sz="4" w:space="0" w:color="auto"/>
                    <w:right w:val="single" w:sz="4" w:space="0" w:color="auto"/>
                  </w:tcBorders>
                  <w:hideMark/>
                </w:tcPr>
                <w:p w14:paraId="0DA19F2C" w14:textId="77777777" w:rsidR="00015641" w:rsidRPr="00617886" w:rsidRDefault="00015641" w:rsidP="00015641">
                  <w:pPr>
                    <w:pStyle w:val="Standardfett"/>
                  </w:pPr>
                  <w:r>
                    <w:t>Wording</w:t>
                  </w:r>
                </w:p>
              </w:tc>
            </w:tr>
            <w:tr w:rsidR="00015641" w:rsidRPr="00617886" w14:paraId="5089BE64"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7377CE76" w14:textId="77777777" w:rsidR="00015641" w:rsidRPr="00617886" w:rsidRDefault="00015641" w:rsidP="00015641">
                  <w:r>
                    <w:t>H340</w:t>
                  </w:r>
                </w:p>
              </w:tc>
              <w:tc>
                <w:tcPr>
                  <w:tcW w:w="5837" w:type="dxa"/>
                  <w:tcBorders>
                    <w:top w:val="single" w:sz="4" w:space="0" w:color="auto"/>
                    <w:left w:val="single" w:sz="4" w:space="0" w:color="auto"/>
                    <w:bottom w:val="single" w:sz="4" w:space="0" w:color="auto"/>
                    <w:right w:val="single" w:sz="4" w:space="0" w:color="auto"/>
                  </w:tcBorders>
                  <w:hideMark/>
                </w:tcPr>
                <w:p w14:paraId="56387FC0" w14:textId="77777777" w:rsidR="00015641" w:rsidRPr="00617886" w:rsidRDefault="00015641" w:rsidP="00015641">
                  <w:r>
                    <w:t>May cause genetic defects.</w:t>
                  </w:r>
                </w:p>
              </w:tc>
            </w:tr>
            <w:tr w:rsidR="00015641" w:rsidRPr="00617886" w14:paraId="46A77532"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4F59F3C5" w14:textId="77777777" w:rsidR="00015641" w:rsidRPr="00617886" w:rsidRDefault="00015641" w:rsidP="00015641">
                  <w:r>
                    <w:t>H341</w:t>
                  </w:r>
                </w:p>
              </w:tc>
              <w:tc>
                <w:tcPr>
                  <w:tcW w:w="5837" w:type="dxa"/>
                  <w:tcBorders>
                    <w:top w:val="single" w:sz="4" w:space="0" w:color="auto"/>
                    <w:left w:val="single" w:sz="4" w:space="0" w:color="auto"/>
                    <w:bottom w:val="single" w:sz="4" w:space="0" w:color="auto"/>
                    <w:right w:val="single" w:sz="4" w:space="0" w:color="auto"/>
                  </w:tcBorders>
                  <w:hideMark/>
                </w:tcPr>
                <w:p w14:paraId="48E9A68E" w14:textId="77777777" w:rsidR="00015641" w:rsidRPr="00617886" w:rsidRDefault="00015641" w:rsidP="00015641">
                  <w:r>
                    <w:t>Suspected of causing genetic defects.</w:t>
                  </w:r>
                </w:p>
              </w:tc>
            </w:tr>
            <w:tr w:rsidR="00015641" w:rsidRPr="00617886" w14:paraId="774AB057"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2147D050" w14:textId="77777777" w:rsidR="00015641" w:rsidRPr="00617886" w:rsidRDefault="00015641" w:rsidP="00015641">
                  <w:r>
                    <w:t>H350</w:t>
                  </w:r>
                </w:p>
              </w:tc>
              <w:tc>
                <w:tcPr>
                  <w:tcW w:w="5837" w:type="dxa"/>
                  <w:tcBorders>
                    <w:top w:val="single" w:sz="4" w:space="0" w:color="auto"/>
                    <w:left w:val="single" w:sz="4" w:space="0" w:color="auto"/>
                    <w:bottom w:val="single" w:sz="4" w:space="0" w:color="auto"/>
                    <w:right w:val="single" w:sz="4" w:space="0" w:color="auto"/>
                  </w:tcBorders>
                  <w:hideMark/>
                </w:tcPr>
                <w:p w14:paraId="5B0F5C09" w14:textId="77777777" w:rsidR="00015641" w:rsidRPr="00617886" w:rsidRDefault="00015641" w:rsidP="00015641">
                  <w:r>
                    <w:t>May cause cancer.</w:t>
                  </w:r>
                </w:p>
              </w:tc>
            </w:tr>
            <w:tr w:rsidR="00015641" w:rsidRPr="00617886" w14:paraId="619445C8"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075BE91A" w14:textId="77777777" w:rsidR="00015641" w:rsidRPr="00617886" w:rsidRDefault="00015641" w:rsidP="00015641">
                  <w:r>
                    <w:t>H350i</w:t>
                  </w:r>
                  <w:r w:rsidRPr="00617886">
                    <w:rPr>
                      <w:rStyle w:val="Funotenzeichen"/>
                    </w:rPr>
                    <w:footnoteReference w:id="3"/>
                  </w:r>
                </w:p>
              </w:tc>
              <w:tc>
                <w:tcPr>
                  <w:tcW w:w="5837" w:type="dxa"/>
                  <w:tcBorders>
                    <w:top w:val="single" w:sz="4" w:space="0" w:color="auto"/>
                    <w:left w:val="single" w:sz="4" w:space="0" w:color="auto"/>
                    <w:bottom w:val="single" w:sz="4" w:space="0" w:color="auto"/>
                    <w:right w:val="single" w:sz="4" w:space="0" w:color="auto"/>
                  </w:tcBorders>
                  <w:hideMark/>
                </w:tcPr>
                <w:p w14:paraId="6C0A48B5" w14:textId="77777777" w:rsidR="00015641" w:rsidRPr="00617886" w:rsidRDefault="00015641" w:rsidP="00015641">
                  <w:r>
                    <w:t>May cause cancer if inhaled.</w:t>
                  </w:r>
                </w:p>
              </w:tc>
            </w:tr>
            <w:tr w:rsidR="00015641" w:rsidRPr="00617886" w14:paraId="5E20C949"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1045F794" w14:textId="77777777" w:rsidR="00015641" w:rsidRPr="00617886" w:rsidRDefault="00015641" w:rsidP="00015641">
                  <w:r>
                    <w:t>H351</w:t>
                  </w:r>
                </w:p>
              </w:tc>
              <w:tc>
                <w:tcPr>
                  <w:tcW w:w="5837" w:type="dxa"/>
                  <w:tcBorders>
                    <w:top w:val="single" w:sz="4" w:space="0" w:color="auto"/>
                    <w:left w:val="single" w:sz="4" w:space="0" w:color="auto"/>
                    <w:bottom w:val="single" w:sz="4" w:space="0" w:color="auto"/>
                    <w:right w:val="single" w:sz="4" w:space="0" w:color="auto"/>
                  </w:tcBorders>
                  <w:hideMark/>
                </w:tcPr>
                <w:p w14:paraId="6737AE26" w14:textId="77777777" w:rsidR="00015641" w:rsidRPr="00617886" w:rsidRDefault="00015641" w:rsidP="00015641">
                  <w:r>
                    <w:t>Suspected of causing cancer.</w:t>
                  </w:r>
                </w:p>
              </w:tc>
            </w:tr>
            <w:tr w:rsidR="00015641" w:rsidRPr="00617886" w14:paraId="6B80E081"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2AD6DB6C" w14:textId="77777777" w:rsidR="00015641" w:rsidRPr="00617886" w:rsidRDefault="00015641" w:rsidP="00015641">
                  <w:r>
                    <w:t>H360F</w:t>
                  </w:r>
                </w:p>
              </w:tc>
              <w:tc>
                <w:tcPr>
                  <w:tcW w:w="5837" w:type="dxa"/>
                  <w:tcBorders>
                    <w:top w:val="single" w:sz="4" w:space="0" w:color="auto"/>
                    <w:left w:val="single" w:sz="4" w:space="0" w:color="auto"/>
                    <w:bottom w:val="single" w:sz="4" w:space="0" w:color="auto"/>
                    <w:right w:val="single" w:sz="4" w:space="0" w:color="auto"/>
                  </w:tcBorders>
                  <w:hideMark/>
                </w:tcPr>
                <w:p w14:paraId="0FAC9947" w14:textId="77777777" w:rsidR="00015641" w:rsidRPr="00617886" w:rsidRDefault="00015641" w:rsidP="00015641">
                  <w:r>
                    <w:t>May damage fertility.</w:t>
                  </w:r>
                </w:p>
              </w:tc>
            </w:tr>
            <w:tr w:rsidR="00015641" w:rsidRPr="00617886" w14:paraId="1B5C70FD"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4A31990B" w14:textId="77777777" w:rsidR="00015641" w:rsidRPr="00617886" w:rsidRDefault="00015641" w:rsidP="00015641">
                  <w:r>
                    <w:t>H360D</w:t>
                  </w:r>
                </w:p>
              </w:tc>
              <w:tc>
                <w:tcPr>
                  <w:tcW w:w="5837" w:type="dxa"/>
                  <w:tcBorders>
                    <w:top w:val="single" w:sz="4" w:space="0" w:color="auto"/>
                    <w:left w:val="single" w:sz="4" w:space="0" w:color="auto"/>
                    <w:bottom w:val="single" w:sz="4" w:space="0" w:color="auto"/>
                    <w:right w:val="single" w:sz="4" w:space="0" w:color="auto"/>
                  </w:tcBorders>
                  <w:hideMark/>
                </w:tcPr>
                <w:p w14:paraId="6BC90F4A" w14:textId="77777777" w:rsidR="00015641" w:rsidRPr="00617886" w:rsidRDefault="00015641" w:rsidP="00015641">
                  <w:r>
                    <w:t>May damage the unborn child.</w:t>
                  </w:r>
                </w:p>
              </w:tc>
            </w:tr>
            <w:tr w:rsidR="00015641" w:rsidRPr="00617886" w14:paraId="63B6100B"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44674AFD" w14:textId="77777777" w:rsidR="00015641" w:rsidRPr="00617886" w:rsidRDefault="00015641" w:rsidP="00015641">
                  <w:r>
                    <w:t>H360FD</w:t>
                  </w:r>
                </w:p>
              </w:tc>
              <w:tc>
                <w:tcPr>
                  <w:tcW w:w="5837" w:type="dxa"/>
                  <w:tcBorders>
                    <w:top w:val="single" w:sz="4" w:space="0" w:color="auto"/>
                    <w:left w:val="single" w:sz="4" w:space="0" w:color="auto"/>
                    <w:bottom w:val="single" w:sz="4" w:space="0" w:color="auto"/>
                    <w:right w:val="single" w:sz="4" w:space="0" w:color="auto"/>
                  </w:tcBorders>
                  <w:hideMark/>
                </w:tcPr>
                <w:p w14:paraId="49B4A4C6" w14:textId="77777777" w:rsidR="00015641" w:rsidRPr="00617886" w:rsidRDefault="00015641" w:rsidP="00015641">
                  <w:r>
                    <w:t>May damage fertility.</w:t>
                  </w:r>
                </w:p>
                <w:p w14:paraId="32222A1B" w14:textId="77777777" w:rsidR="00015641" w:rsidRPr="00617886" w:rsidRDefault="00015641" w:rsidP="00015641">
                  <w:r>
                    <w:t>May damage the unborn child.</w:t>
                  </w:r>
                </w:p>
              </w:tc>
            </w:tr>
            <w:tr w:rsidR="00015641" w:rsidRPr="00617886" w14:paraId="01D575FE"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5A9265B6" w14:textId="77777777" w:rsidR="00015641" w:rsidRPr="00617886" w:rsidRDefault="00015641" w:rsidP="00015641">
                  <w:r>
                    <w:t>H360Fd</w:t>
                  </w:r>
                </w:p>
              </w:tc>
              <w:tc>
                <w:tcPr>
                  <w:tcW w:w="5837" w:type="dxa"/>
                  <w:tcBorders>
                    <w:top w:val="single" w:sz="4" w:space="0" w:color="auto"/>
                    <w:left w:val="single" w:sz="4" w:space="0" w:color="auto"/>
                    <w:bottom w:val="single" w:sz="4" w:space="0" w:color="auto"/>
                    <w:right w:val="single" w:sz="4" w:space="0" w:color="auto"/>
                  </w:tcBorders>
                  <w:hideMark/>
                </w:tcPr>
                <w:p w14:paraId="3D54F0A7" w14:textId="77777777" w:rsidR="00015641" w:rsidRPr="00617886" w:rsidRDefault="00015641" w:rsidP="00015641">
                  <w:r>
                    <w:t>May damage fertility.</w:t>
                  </w:r>
                </w:p>
                <w:p w14:paraId="7EA101F8" w14:textId="77777777" w:rsidR="00015641" w:rsidRPr="00617886" w:rsidRDefault="00015641" w:rsidP="00015641">
                  <w:r>
                    <w:t>Suspected of damaging the unborn child.</w:t>
                  </w:r>
                </w:p>
              </w:tc>
            </w:tr>
            <w:tr w:rsidR="00015641" w:rsidRPr="00617886" w14:paraId="40EA59AD"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751C3E27" w14:textId="77777777" w:rsidR="00015641" w:rsidRPr="00617886" w:rsidRDefault="00015641" w:rsidP="00015641">
                  <w:r>
                    <w:t>H360Df</w:t>
                  </w:r>
                </w:p>
              </w:tc>
              <w:tc>
                <w:tcPr>
                  <w:tcW w:w="5837" w:type="dxa"/>
                  <w:tcBorders>
                    <w:top w:val="single" w:sz="4" w:space="0" w:color="auto"/>
                    <w:left w:val="single" w:sz="4" w:space="0" w:color="auto"/>
                    <w:bottom w:val="single" w:sz="4" w:space="0" w:color="auto"/>
                    <w:right w:val="single" w:sz="4" w:space="0" w:color="auto"/>
                  </w:tcBorders>
                  <w:hideMark/>
                </w:tcPr>
                <w:p w14:paraId="578956CE" w14:textId="77777777" w:rsidR="00015641" w:rsidRPr="00617886" w:rsidRDefault="00015641" w:rsidP="00015641">
                  <w:r>
                    <w:t>May damage the unborn child.</w:t>
                  </w:r>
                </w:p>
                <w:p w14:paraId="4AD3F853" w14:textId="77777777" w:rsidR="00015641" w:rsidRPr="00617886" w:rsidRDefault="00015641" w:rsidP="00015641">
                  <w:r>
                    <w:t>Suspected of damaging fertility.</w:t>
                  </w:r>
                </w:p>
              </w:tc>
            </w:tr>
            <w:tr w:rsidR="00015641" w:rsidRPr="00617886" w14:paraId="7592CF33"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797F0D4C" w14:textId="77777777" w:rsidR="00015641" w:rsidRPr="00617886" w:rsidRDefault="00015641" w:rsidP="00015641">
                  <w:r>
                    <w:t>H361f</w:t>
                  </w:r>
                </w:p>
              </w:tc>
              <w:tc>
                <w:tcPr>
                  <w:tcW w:w="5837" w:type="dxa"/>
                  <w:tcBorders>
                    <w:top w:val="single" w:sz="4" w:space="0" w:color="auto"/>
                    <w:left w:val="single" w:sz="4" w:space="0" w:color="auto"/>
                    <w:bottom w:val="single" w:sz="4" w:space="0" w:color="auto"/>
                    <w:right w:val="single" w:sz="4" w:space="0" w:color="auto"/>
                  </w:tcBorders>
                  <w:hideMark/>
                </w:tcPr>
                <w:p w14:paraId="1A2E1971" w14:textId="77777777" w:rsidR="00015641" w:rsidRPr="00617886" w:rsidRDefault="00015641" w:rsidP="00015641">
                  <w:r>
                    <w:t>Suspected of damaging fertility.</w:t>
                  </w:r>
                </w:p>
              </w:tc>
            </w:tr>
            <w:tr w:rsidR="00015641" w:rsidRPr="00617886" w14:paraId="6BEA090D"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1C23DEDA" w14:textId="77777777" w:rsidR="00015641" w:rsidRPr="00617886" w:rsidRDefault="00015641" w:rsidP="00015641">
                  <w:r>
                    <w:t>H361d</w:t>
                  </w:r>
                </w:p>
              </w:tc>
              <w:tc>
                <w:tcPr>
                  <w:tcW w:w="5837" w:type="dxa"/>
                  <w:tcBorders>
                    <w:top w:val="single" w:sz="4" w:space="0" w:color="auto"/>
                    <w:left w:val="single" w:sz="4" w:space="0" w:color="auto"/>
                    <w:bottom w:val="single" w:sz="4" w:space="0" w:color="auto"/>
                    <w:right w:val="single" w:sz="4" w:space="0" w:color="auto"/>
                  </w:tcBorders>
                  <w:hideMark/>
                </w:tcPr>
                <w:p w14:paraId="27290679" w14:textId="77777777" w:rsidR="00015641" w:rsidRPr="00617886" w:rsidRDefault="00015641" w:rsidP="00015641">
                  <w:r>
                    <w:t>Suspected of damaging the unborn child.</w:t>
                  </w:r>
                </w:p>
              </w:tc>
            </w:tr>
            <w:tr w:rsidR="00015641" w:rsidRPr="00617886" w14:paraId="4E8847E2" w14:textId="77777777" w:rsidTr="00120964">
              <w:tc>
                <w:tcPr>
                  <w:tcW w:w="2547" w:type="dxa"/>
                  <w:tcBorders>
                    <w:top w:val="single" w:sz="4" w:space="0" w:color="auto"/>
                    <w:left w:val="single" w:sz="4" w:space="0" w:color="auto"/>
                    <w:bottom w:val="single" w:sz="4" w:space="0" w:color="auto"/>
                    <w:right w:val="single" w:sz="4" w:space="0" w:color="auto"/>
                  </w:tcBorders>
                  <w:hideMark/>
                </w:tcPr>
                <w:p w14:paraId="0C6A214D" w14:textId="77777777" w:rsidR="00015641" w:rsidRPr="00617886" w:rsidRDefault="00015641" w:rsidP="00015641">
                  <w:r>
                    <w:t>H361fd</w:t>
                  </w:r>
                </w:p>
              </w:tc>
              <w:tc>
                <w:tcPr>
                  <w:tcW w:w="5837" w:type="dxa"/>
                  <w:tcBorders>
                    <w:top w:val="single" w:sz="4" w:space="0" w:color="auto"/>
                    <w:left w:val="single" w:sz="4" w:space="0" w:color="auto"/>
                    <w:bottom w:val="single" w:sz="4" w:space="0" w:color="auto"/>
                    <w:right w:val="single" w:sz="4" w:space="0" w:color="auto"/>
                  </w:tcBorders>
                  <w:hideMark/>
                </w:tcPr>
                <w:p w14:paraId="5E8C37E6" w14:textId="77777777" w:rsidR="00015641" w:rsidRPr="00617886" w:rsidRDefault="00015641" w:rsidP="00015641">
                  <w:r>
                    <w:t xml:space="preserve">Suspected of damaging fertility. </w:t>
                  </w:r>
                </w:p>
                <w:p w14:paraId="444963D9" w14:textId="77777777" w:rsidR="00015641" w:rsidRPr="00617886" w:rsidRDefault="00015641" w:rsidP="00015641">
                  <w:r>
                    <w:lastRenderedPageBreak/>
                    <w:t>Suspected of damaging the unborn child.</w:t>
                  </w:r>
                </w:p>
              </w:tc>
            </w:tr>
          </w:tbl>
          <w:p w14:paraId="5D3A90F3" w14:textId="77777777" w:rsidR="00015641" w:rsidRPr="00617886" w:rsidRDefault="00015641" w:rsidP="006E7D67">
            <w:pPr>
              <w:pStyle w:val="Textkrper"/>
              <w:tabs>
                <w:tab w:val="clear" w:pos="284"/>
                <w:tab w:val="clear" w:pos="851"/>
                <w:tab w:val="left" w:pos="8222"/>
              </w:tabs>
              <w:spacing w:line="240" w:lineRule="auto"/>
              <w:ind w:left="155" w:hanging="220"/>
              <w:jc w:val="left"/>
              <w:rPr>
                <w:rFonts w:ascii="Verdana" w:hAnsi="Verdana"/>
                <w:sz w:val="20"/>
                <w:szCs w:val="20"/>
              </w:rPr>
            </w:pPr>
          </w:p>
        </w:tc>
      </w:tr>
      <w:tr w:rsidR="009C70BE" w:rsidRPr="00617886" w14:paraId="50A56E94" w14:textId="77777777" w:rsidTr="00E141F6">
        <w:tc>
          <w:tcPr>
            <w:tcW w:w="1231" w:type="dxa"/>
            <w:shd w:val="clear" w:color="auto" w:fill="auto"/>
          </w:tcPr>
          <w:p w14:paraId="2FAFA2A7" w14:textId="77777777" w:rsidR="009C70BE" w:rsidRPr="00617886" w:rsidRDefault="009C70BE" w:rsidP="00420FE8">
            <w:pPr>
              <w:pStyle w:val="Textkrper"/>
              <w:tabs>
                <w:tab w:val="left" w:pos="8222"/>
              </w:tabs>
              <w:spacing w:line="240" w:lineRule="auto"/>
              <w:jc w:val="left"/>
              <w:rPr>
                <w:rFonts w:ascii="Verdana" w:hAnsi="Verdana"/>
                <w:b/>
                <w:sz w:val="20"/>
                <w:szCs w:val="20"/>
              </w:rPr>
            </w:pPr>
            <w:r>
              <w:rPr>
                <w:rFonts w:ascii="Verdana" w:hAnsi="Verdana"/>
                <w:b/>
                <w:sz w:val="20"/>
              </w:rPr>
              <w:lastRenderedPageBreak/>
              <w:t>3.5</w:t>
            </w:r>
          </w:p>
        </w:tc>
        <w:tc>
          <w:tcPr>
            <w:tcW w:w="8581" w:type="dxa"/>
            <w:shd w:val="clear" w:color="auto" w:fill="auto"/>
          </w:tcPr>
          <w:p w14:paraId="7FFFA839" w14:textId="4EA2E695" w:rsidR="009C70BE" w:rsidRPr="00617886" w:rsidRDefault="009C70BE"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rPr>
              <w:t>-</w:t>
            </w:r>
            <w:r>
              <w:t xml:space="preserve"> </w:t>
            </w:r>
            <w:r>
              <w:rPr>
                <w:rFonts w:ascii="Verdana" w:hAnsi="Verdana"/>
                <w:sz w:val="20"/>
              </w:rPr>
              <w:t>only those production aids and paper refining agents that are listed in Recommendation XXXVI from the BfR for “Paper and board for food contact”</w:t>
            </w:r>
            <w:r w:rsidR="00FF47DB" w:rsidRPr="00FF47DB">
              <w:rPr>
                <w:rStyle w:val="Funotenzeichen"/>
                <w:rFonts w:ascii="Verdana" w:hAnsi="Verdana"/>
                <w:sz w:val="20"/>
                <w:szCs w:val="20"/>
              </w:rPr>
              <w:footnoteReference w:id="4"/>
            </w:r>
            <w:r>
              <w:rPr>
                <w:rFonts w:ascii="Verdana" w:hAnsi="Verdana"/>
                <w:sz w:val="20"/>
              </w:rPr>
              <w:t xml:space="preserve"> (positive list) in sections B (production aids) and C (special paper refining agents) have been added to the product,</w:t>
            </w:r>
            <w:r>
              <w:t xml:space="preserve"> </w:t>
            </w:r>
            <w:r>
              <w:rPr>
                <w:rFonts w:ascii="Verdana" w:hAnsi="Verdana"/>
                <w:sz w:val="20"/>
              </w:rPr>
              <w:t xml:space="preserve"> </w:t>
            </w:r>
          </w:p>
          <w:p w14:paraId="4C50BE68" w14:textId="5B405D13" w:rsidR="009C70BE" w:rsidRPr="00617886" w:rsidRDefault="009C70BE" w:rsidP="00191233">
            <w:pPr>
              <w:pStyle w:val="Textkrper"/>
              <w:tabs>
                <w:tab w:val="left" w:pos="8222"/>
              </w:tabs>
              <w:spacing w:line="240" w:lineRule="auto"/>
              <w:ind w:left="155" w:hanging="155"/>
              <w:jc w:val="left"/>
              <w:rPr>
                <w:rFonts w:ascii="Verdana" w:hAnsi="Verdana"/>
                <w:sz w:val="20"/>
                <w:szCs w:val="20"/>
              </w:rPr>
            </w:pPr>
            <w:r>
              <w:rPr>
                <w:rFonts w:ascii="Verdana" w:hAnsi="Verdana"/>
                <w:sz w:val="20"/>
              </w:rPr>
              <w:t>- the maximum quantities and concentrations stated in this list have been observed,</w:t>
            </w:r>
            <w:r>
              <w:rPr>
                <w:rFonts w:ascii="Verdana" w:hAnsi="Verdana"/>
                <w:sz w:val="20"/>
              </w:rPr>
              <w:br/>
            </w:r>
          </w:p>
        </w:tc>
      </w:tr>
      <w:tr w:rsidR="00564AF4" w:rsidRPr="00617886" w14:paraId="061019B2" w14:textId="77777777" w:rsidTr="00E141F6">
        <w:tc>
          <w:tcPr>
            <w:tcW w:w="1231" w:type="dxa"/>
            <w:shd w:val="clear" w:color="auto" w:fill="auto"/>
          </w:tcPr>
          <w:p w14:paraId="758FF296" w14:textId="77777777" w:rsidR="00564AF4" w:rsidRPr="00617886" w:rsidRDefault="00564AF4" w:rsidP="00420FE8">
            <w:pPr>
              <w:pStyle w:val="Textkrper"/>
              <w:tabs>
                <w:tab w:val="left" w:pos="8222"/>
              </w:tabs>
              <w:spacing w:line="240" w:lineRule="auto"/>
              <w:jc w:val="left"/>
              <w:rPr>
                <w:rFonts w:ascii="Verdana" w:hAnsi="Verdana"/>
                <w:b/>
                <w:sz w:val="20"/>
                <w:szCs w:val="20"/>
              </w:rPr>
            </w:pPr>
            <w:r>
              <w:rPr>
                <w:rFonts w:ascii="Verdana" w:hAnsi="Verdana"/>
                <w:b/>
                <w:sz w:val="20"/>
              </w:rPr>
              <w:t>3.6</w:t>
            </w:r>
          </w:p>
        </w:tc>
        <w:tc>
          <w:tcPr>
            <w:tcW w:w="8581" w:type="dxa"/>
            <w:shd w:val="clear" w:color="auto" w:fill="auto"/>
          </w:tcPr>
          <w:p w14:paraId="1B5B1956" w14:textId="74A026B7" w:rsidR="00191233" w:rsidRDefault="00564AF4"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rPr>
              <w:t>- no production aids containing glyoxal or per- and polyfluoroalkyl substances (PFAS) have been used to produce the recycled paper,</w:t>
            </w:r>
          </w:p>
          <w:p w14:paraId="2E5A67FE" w14:textId="57C4D3AC" w:rsidR="00564AF4" w:rsidRPr="00617886" w:rsidRDefault="00191233"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rPr>
              <w:t>- no optical brighteners and coating materials have been added to the product,</w:t>
            </w:r>
          </w:p>
          <w:p w14:paraId="5D544CB8" w14:textId="77777777" w:rsidR="00564AF4" w:rsidRPr="00617886" w:rsidRDefault="00564AF4" w:rsidP="009C70BE">
            <w:pPr>
              <w:pStyle w:val="Textkrper"/>
              <w:tabs>
                <w:tab w:val="left" w:pos="8222"/>
              </w:tabs>
              <w:spacing w:line="240" w:lineRule="auto"/>
              <w:ind w:left="155" w:hanging="155"/>
              <w:jc w:val="left"/>
              <w:rPr>
                <w:rFonts w:ascii="Verdana" w:hAnsi="Verdana"/>
                <w:sz w:val="20"/>
                <w:szCs w:val="20"/>
              </w:rPr>
            </w:pPr>
          </w:p>
        </w:tc>
      </w:tr>
      <w:tr w:rsidR="00564AF4" w:rsidRPr="00617886" w14:paraId="4933D6C7" w14:textId="77777777" w:rsidTr="00E141F6">
        <w:tc>
          <w:tcPr>
            <w:tcW w:w="1231" w:type="dxa"/>
            <w:shd w:val="clear" w:color="auto" w:fill="auto"/>
          </w:tcPr>
          <w:p w14:paraId="32B675E4" w14:textId="77777777" w:rsidR="00564AF4" w:rsidRPr="00617886" w:rsidRDefault="00564AF4" w:rsidP="00420FE8">
            <w:pPr>
              <w:pStyle w:val="Textkrper"/>
              <w:tabs>
                <w:tab w:val="left" w:pos="8222"/>
              </w:tabs>
              <w:spacing w:line="240" w:lineRule="auto"/>
              <w:jc w:val="left"/>
              <w:rPr>
                <w:rFonts w:ascii="Verdana" w:hAnsi="Verdana"/>
                <w:b/>
                <w:sz w:val="20"/>
                <w:szCs w:val="20"/>
              </w:rPr>
            </w:pPr>
            <w:r>
              <w:rPr>
                <w:rFonts w:ascii="Verdana" w:hAnsi="Verdana"/>
                <w:b/>
                <w:sz w:val="20"/>
              </w:rPr>
              <w:t>3.7</w:t>
            </w:r>
          </w:p>
        </w:tc>
        <w:tc>
          <w:tcPr>
            <w:tcW w:w="8581" w:type="dxa"/>
            <w:shd w:val="clear" w:color="auto" w:fill="auto"/>
          </w:tcPr>
          <w:p w14:paraId="1CD57676" w14:textId="36F4A76E" w:rsidR="0030401A" w:rsidRPr="006A777A" w:rsidRDefault="00564AF4" w:rsidP="0030401A">
            <w:pPr>
              <w:pStyle w:val="Standardkursiv"/>
              <w:rPr>
                <w:rFonts w:eastAsia="Times New Roman"/>
                <w:i w:val="0"/>
                <w:color w:val="000000"/>
                <w:lang w:eastAsia="de-DE"/>
              </w:rPr>
            </w:pPr>
            <w:r>
              <w:t xml:space="preserve">- </w:t>
            </w:r>
            <w:r w:rsidRPr="006A777A">
              <w:rPr>
                <w:rFonts w:eastAsia="Times New Roman"/>
                <w:i w:val="0"/>
                <w:color w:val="000000"/>
                <w:lang w:eastAsia="de-DE"/>
              </w:rPr>
              <w:t xml:space="preserve">no wet strength agents have been used to produce the types of paper according to Paragraph 2; </w:t>
            </w:r>
          </w:p>
          <w:p w14:paraId="442E3D0C" w14:textId="7801D9D4" w:rsidR="0030401A" w:rsidRDefault="00191233" w:rsidP="0030401A">
            <w:r>
              <w:t xml:space="preserve">- the only exception is for paper used to produce bags for organic waste, for which it is permitted to add wet strength agents to the product up to a max. quantity of 1% by mass (mass of the active substance in relation to the mass of the oven dry pulp </w:t>
            </w:r>
            <w:r w:rsidR="0030401A" w:rsidRPr="00617886">
              <w:rPr>
                <w:rStyle w:val="Funotenzeichen"/>
              </w:rPr>
              <w:footnoteReference w:id="5"/>
            </w:r>
            <w:r>
              <w:t>),</w:t>
            </w:r>
          </w:p>
          <w:p w14:paraId="7743D154" w14:textId="7A0E9113" w:rsidR="00191233" w:rsidRPr="00617886" w:rsidRDefault="00191233" w:rsidP="0030401A">
            <w:pPr>
              <w:rPr>
                <w:rFonts w:eastAsiaTheme="minorHAnsi"/>
              </w:rPr>
            </w:pPr>
            <w:r>
              <w:t>- for paper used to produce bags for organic waste for which it is permitted to add wet strength agents, the wet strength agents do not exceed a max. quantity of 1% by mass,</w:t>
            </w:r>
          </w:p>
          <w:p w14:paraId="3CE8C755" w14:textId="77777777" w:rsidR="00564AF4" w:rsidRPr="00617886" w:rsidRDefault="00564AF4" w:rsidP="0030401A"/>
        </w:tc>
      </w:tr>
      <w:tr w:rsidR="00B72D6C" w:rsidRPr="00617886" w14:paraId="4EC5CA0B" w14:textId="77777777" w:rsidTr="00E141F6">
        <w:tc>
          <w:tcPr>
            <w:tcW w:w="1231" w:type="dxa"/>
            <w:shd w:val="clear" w:color="auto" w:fill="auto"/>
          </w:tcPr>
          <w:p w14:paraId="64C37465" w14:textId="77777777" w:rsidR="00B72D6C" w:rsidRPr="00617886" w:rsidRDefault="00B72D6C" w:rsidP="00420FE8">
            <w:pPr>
              <w:pStyle w:val="Textkrper"/>
              <w:tabs>
                <w:tab w:val="left" w:pos="8222"/>
              </w:tabs>
              <w:spacing w:line="240" w:lineRule="auto"/>
              <w:jc w:val="left"/>
              <w:rPr>
                <w:rFonts w:ascii="Verdana" w:hAnsi="Verdana"/>
                <w:b/>
                <w:sz w:val="20"/>
                <w:szCs w:val="20"/>
              </w:rPr>
            </w:pPr>
            <w:r>
              <w:rPr>
                <w:rFonts w:ascii="Verdana" w:hAnsi="Verdana"/>
                <w:b/>
                <w:sz w:val="20"/>
              </w:rPr>
              <w:t>3.8</w:t>
            </w:r>
          </w:p>
        </w:tc>
        <w:tc>
          <w:tcPr>
            <w:tcW w:w="8581" w:type="dxa"/>
            <w:shd w:val="clear" w:color="auto" w:fill="auto"/>
          </w:tcPr>
          <w:p w14:paraId="39553A4E" w14:textId="0D636421" w:rsidR="00B72D6C" w:rsidRPr="00617886" w:rsidRDefault="00B72D6C"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the recovered paper was processed without the use of chlorine, halogenated bleaching agents and not readily biodegradable complexing agents such as e.g. ehylenediaminetetraacetic acid (EDTA) and diethylenetriaminepentaacetic acid (DTPA),</w:t>
            </w:r>
          </w:p>
          <w:p w14:paraId="15AAA698" w14:textId="77777777" w:rsidR="00B72D6C" w:rsidRPr="00617886" w:rsidRDefault="00B72D6C" w:rsidP="00420FE8">
            <w:pPr>
              <w:pStyle w:val="Textkrper"/>
              <w:tabs>
                <w:tab w:val="left" w:pos="8222"/>
              </w:tabs>
              <w:spacing w:line="240" w:lineRule="auto"/>
              <w:ind w:left="155" w:hanging="155"/>
              <w:jc w:val="left"/>
              <w:rPr>
                <w:rFonts w:ascii="Verdana" w:hAnsi="Verdana"/>
                <w:sz w:val="20"/>
                <w:szCs w:val="20"/>
              </w:rPr>
            </w:pPr>
          </w:p>
        </w:tc>
      </w:tr>
      <w:tr w:rsidR="00420FE8" w:rsidRPr="00617886" w14:paraId="60756438" w14:textId="77777777" w:rsidTr="00E141F6">
        <w:tc>
          <w:tcPr>
            <w:tcW w:w="1231" w:type="dxa"/>
            <w:shd w:val="clear" w:color="auto" w:fill="auto"/>
          </w:tcPr>
          <w:p w14:paraId="14E4E403" w14:textId="77777777" w:rsidR="00420FE8" w:rsidRPr="00617886" w:rsidRDefault="00420FE8" w:rsidP="00420FE8">
            <w:pPr>
              <w:pStyle w:val="Textkrper"/>
              <w:tabs>
                <w:tab w:val="left" w:pos="8222"/>
              </w:tabs>
              <w:spacing w:line="240" w:lineRule="auto"/>
              <w:jc w:val="left"/>
              <w:rPr>
                <w:rFonts w:ascii="Verdana" w:hAnsi="Verdana"/>
                <w:b/>
                <w:sz w:val="20"/>
                <w:szCs w:val="20"/>
              </w:rPr>
            </w:pPr>
            <w:r>
              <w:rPr>
                <w:rFonts w:ascii="Verdana" w:hAnsi="Verdana"/>
                <w:b/>
                <w:sz w:val="20"/>
              </w:rPr>
              <w:t>3.9</w:t>
            </w:r>
          </w:p>
        </w:tc>
        <w:tc>
          <w:tcPr>
            <w:tcW w:w="8581" w:type="dxa"/>
            <w:shd w:val="clear" w:color="auto" w:fill="auto"/>
          </w:tcPr>
          <w:p w14:paraId="2C0BFCAA" w14:textId="6109285B" w:rsidR="0030401A" w:rsidRPr="00617886"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in the production of the recycled paper, only those slimicides (substances in product type 12) and material preservatives for fibres (substances in product type 9) in the sense of the Biocidal Products Regulation that have been approved in accordance with the Biocidal Products Regulation (EU) No. 528/2012 (EU list of approved active substances) or are still being examined as a notified existing active substance for the relevant type of biocides as part of the EU work programme for the systematic examination of all existing active substances have been used, </w:t>
            </w:r>
          </w:p>
          <w:p w14:paraId="62E8DABA" w14:textId="30E56F93" w:rsidR="0030401A" w:rsidRPr="00617886" w:rsidRDefault="0030401A"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accordingly, only those biocidal products classified in product types 9 and 12 that have been explicitly approved for the desired application have been used,</w:t>
            </w:r>
          </w:p>
          <w:p w14:paraId="1A1BEAAA" w14:textId="3CA39BAB" w:rsidR="0030401A" w:rsidRPr="00617886" w:rsidRDefault="0030401A"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for a transitional period, biocidal products that contain notified existing active substances of product types 9 and 12 that are still being examined as part of the EU examination process have been used without approval if they are registered in accordance with the German ordinance on the notification of biocidal products pursuant to the German Chemicals Act (Biocide Notification Ordinance – ChemBiozidMeldeV),</w:t>
            </w:r>
          </w:p>
          <w:p w14:paraId="3C062E1C" w14:textId="3A5887C7" w:rsidR="00420FE8" w:rsidRPr="00617886" w:rsidRDefault="0030401A"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in addition, the biocidal products used in the product do not contain any substances that have been considered as candidates for substitution according to Article 10 of Regulation (EU) No. 528/2012,</w:t>
            </w:r>
            <w:r>
              <w:rPr>
                <w:rFonts w:ascii="Verdana" w:hAnsi="Verdana"/>
                <w:sz w:val="20"/>
              </w:rPr>
              <w:br/>
              <w:t>- until the approval requirements for the biocidal products containing notified existing active substances come into force, only those substances that are also listed in Recommendation XXXVI from the BfR are permitted,</w:t>
            </w:r>
          </w:p>
          <w:p w14:paraId="7B32BA9F" w14:textId="19A6A9D6" w:rsidR="00564AF4" w:rsidRPr="00617886" w:rsidRDefault="006558AF"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insofar as production aids and paper refining agents that can be used for the production of the recycled paper and which are permitted to contain biocidal products of product type 6 (protection of finished products in containers against </w:t>
            </w:r>
            <w:r>
              <w:rPr>
                <w:rFonts w:ascii="Verdana" w:hAnsi="Verdana"/>
                <w:sz w:val="20"/>
              </w:rPr>
              <w:lastRenderedPageBreak/>
              <w:t>microbial deterioration to ensure their shelf-life) have been made available on the market (residual content of these biocidal products will be accepted),</w:t>
            </w:r>
          </w:p>
          <w:p w14:paraId="642E54BB" w14:textId="77777777" w:rsidR="006558AF" w:rsidRPr="00617886" w:rsidRDefault="006558AF" w:rsidP="00420FE8">
            <w:pPr>
              <w:pStyle w:val="Textkrper"/>
              <w:tabs>
                <w:tab w:val="left" w:pos="8222"/>
              </w:tabs>
              <w:spacing w:line="240" w:lineRule="auto"/>
              <w:ind w:left="155" w:hanging="155"/>
              <w:jc w:val="left"/>
              <w:rPr>
                <w:rFonts w:ascii="Verdana" w:hAnsi="Verdana"/>
                <w:sz w:val="20"/>
                <w:szCs w:val="20"/>
              </w:rPr>
            </w:pPr>
          </w:p>
        </w:tc>
      </w:tr>
      <w:tr w:rsidR="00420FE8" w:rsidRPr="00617886" w14:paraId="2ED47990" w14:textId="77777777" w:rsidTr="00E141F6">
        <w:tc>
          <w:tcPr>
            <w:tcW w:w="1231" w:type="dxa"/>
            <w:shd w:val="clear" w:color="auto" w:fill="auto"/>
          </w:tcPr>
          <w:p w14:paraId="1292B3D4" w14:textId="77777777" w:rsidR="00420FE8" w:rsidRPr="00617886" w:rsidRDefault="00420FE8" w:rsidP="00420FE8">
            <w:pPr>
              <w:pStyle w:val="Textkrper"/>
              <w:tabs>
                <w:tab w:val="left" w:pos="8222"/>
              </w:tabs>
              <w:spacing w:line="240" w:lineRule="auto"/>
              <w:jc w:val="left"/>
              <w:rPr>
                <w:rFonts w:ascii="Verdana" w:hAnsi="Verdana"/>
                <w:b/>
                <w:sz w:val="20"/>
                <w:szCs w:val="20"/>
              </w:rPr>
            </w:pPr>
            <w:r>
              <w:rPr>
                <w:rFonts w:ascii="Verdana" w:hAnsi="Verdana"/>
                <w:b/>
                <w:sz w:val="20"/>
              </w:rPr>
              <w:lastRenderedPageBreak/>
              <w:t>3.10</w:t>
            </w:r>
          </w:p>
        </w:tc>
        <w:tc>
          <w:tcPr>
            <w:tcW w:w="8581" w:type="dxa"/>
            <w:shd w:val="clear" w:color="auto" w:fill="auto"/>
          </w:tcPr>
          <w:p w14:paraId="21098CAE" w14:textId="7D648F80" w:rsidR="00CE6992" w:rsidRPr="00617886" w:rsidRDefault="00420FE8" w:rsidP="008129A9">
            <w:pPr>
              <w:pStyle w:val="Textkrper"/>
              <w:tabs>
                <w:tab w:val="left" w:pos="8222"/>
              </w:tabs>
              <w:spacing w:line="240" w:lineRule="auto"/>
              <w:ind w:left="155" w:hanging="155"/>
              <w:jc w:val="left"/>
              <w:rPr>
                <w:rFonts w:ascii="Verdana" w:hAnsi="Verdana"/>
                <w:sz w:val="20"/>
                <w:szCs w:val="20"/>
              </w:rPr>
            </w:pPr>
            <w:r>
              <w:rPr>
                <w:rFonts w:ascii="Verdana" w:hAnsi="Verdana"/>
                <w:sz w:val="20"/>
              </w:rPr>
              <w:t>- all products do not exceed a maximum grade of whiteness of 100% (including the UV proportion) according to ISO 2470 and a maximum CIE whiteness of 135 according to DIN ISO 11475 (brown paper is excluded from this requirement),</w:t>
            </w:r>
          </w:p>
          <w:p w14:paraId="0666BFB0" w14:textId="77777777" w:rsidR="00CE6992" w:rsidRPr="00617886" w:rsidRDefault="00CE6992" w:rsidP="00420FE8">
            <w:pPr>
              <w:pStyle w:val="Textkrper"/>
              <w:tabs>
                <w:tab w:val="left" w:pos="8222"/>
              </w:tabs>
              <w:spacing w:line="240" w:lineRule="auto"/>
              <w:ind w:left="155" w:hanging="155"/>
              <w:jc w:val="left"/>
              <w:rPr>
                <w:rFonts w:ascii="Verdana" w:hAnsi="Verdana"/>
                <w:sz w:val="20"/>
                <w:szCs w:val="20"/>
              </w:rPr>
            </w:pPr>
          </w:p>
        </w:tc>
      </w:tr>
      <w:tr w:rsidR="00420FE8" w:rsidRPr="00617886" w14:paraId="6010F6E2" w14:textId="77777777" w:rsidTr="00E141F6">
        <w:tc>
          <w:tcPr>
            <w:tcW w:w="1231" w:type="dxa"/>
            <w:shd w:val="clear" w:color="auto" w:fill="auto"/>
          </w:tcPr>
          <w:p w14:paraId="28484CC0" w14:textId="77777777" w:rsidR="00420FE8" w:rsidRPr="00617886" w:rsidRDefault="00420FE8" w:rsidP="00420FE8">
            <w:pPr>
              <w:pStyle w:val="Textkrper"/>
              <w:tabs>
                <w:tab w:val="left" w:pos="8222"/>
              </w:tabs>
              <w:spacing w:line="240" w:lineRule="auto"/>
              <w:jc w:val="left"/>
              <w:rPr>
                <w:rFonts w:ascii="Verdana" w:hAnsi="Verdana"/>
                <w:b/>
                <w:sz w:val="20"/>
                <w:szCs w:val="20"/>
              </w:rPr>
            </w:pPr>
            <w:r>
              <w:rPr>
                <w:rFonts w:ascii="Verdana" w:hAnsi="Verdana"/>
                <w:b/>
                <w:sz w:val="20"/>
              </w:rPr>
              <w:t>3.11</w:t>
            </w:r>
          </w:p>
        </w:tc>
        <w:tc>
          <w:tcPr>
            <w:tcW w:w="8581" w:type="dxa"/>
            <w:shd w:val="clear" w:color="auto" w:fill="auto"/>
          </w:tcPr>
          <w:p w14:paraId="78B52781" w14:textId="5AC91F25" w:rsidR="00CE6992" w:rsidRPr="00617886" w:rsidRDefault="00CE6992" w:rsidP="00CE6992">
            <w:r>
              <w:t>- for the production of paper bags and boxes according to Paragraph 2, no azo dyes or pigments have been added in colourants that can cleave into one of the amines stated in Regulation (EC) No. 1907/2006, Annex XVII, No. 43, Appendix 8 or 9, or in TRGS 614</w:t>
            </w:r>
            <w:r w:rsidR="006558AF" w:rsidRPr="00617886">
              <w:rPr>
                <w:rStyle w:val="Funotenzeichen"/>
              </w:rPr>
              <w:footnoteReference w:id="6"/>
            </w:r>
            <w:r>
              <w:t xml:space="preserve"> (see Appendix C of the Basic Award Criteria),</w:t>
            </w:r>
          </w:p>
          <w:p w14:paraId="58B9842F" w14:textId="77777777" w:rsidR="00CE6992" w:rsidRPr="00617886" w:rsidRDefault="00CE6992" w:rsidP="00420FE8">
            <w:pPr>
              <w:pStyle w:val="Textkrper"/>
              <w:tabs>
                <w:tab w:val="left" w:pos="8222"/>
              </w:tabs>
              <w:spacing w:line="240" w:lineRule="auto"/>
              <w:ind w:left="155" w:hanging="155"/>
              <w:jc w:val="left"/>
              <w:rPr>
                <w:rFonts w:ascii="Verdana" w:hAnsi="Verdana"/>
                <w:sz w:val="20"/>
                <w:szCs w:val="20"/>
              </w:rPr>
            </w:pPr>
          </w:p>
        </w:tc>
      </w:tr>
      <w:tr w:rsidR="00420FE8" w:rsidRPr="00617886" w14:paraId="48139947" w14:textId="77777777" w:rsidTr="00E141F6">
        <w:tc>
          <w:tcPr>
            <w:tcW w:w="1231" w:type="dxa"/>
            <w:shd w:val="clear" w:color="auto" w:fill="auto"/>
          </w:tcPr>
          <w:p w14:paraId="05DC26F4" w14:textId="77777777" w:rsidR="00420FE8" w:rsidRPr="00617886" w:rsidRDefault="00420FE8" w:rsidP="00420FE8">
            <w:pPr>
              <w:pStyle w:val="Textkrper"/>
              <w:tabs>
                <w:tab w:val="left" w:pos="8222"/>
              </w:tabs>
              <w:spacing w:line="240" w:lineRule="auto"/>
              <w:jc w:val="left"/>
              <w:rPr>
                <w:rFonts w:ascii="Verdana" w:hAnsi="Verdana"/>
                <w:b/>
                <w:sz w:val="20"/>
                <w:szCs w:val="20"/>
              </w:rPr>
            </w:pPr>
            <w:r>
              <w:rPr>
                <w:rFonts w:ascii="Verdana" w:hAnsi="Verdana"/>
                <w:b/>
                <w:sz w:val="20"/>
              </w:rPr>
              <w:t>3.12</w:t>
            </w:r>
          </w:p>
        </w:tc>
        <w:tc>
          <w:tcPr>
            <w:tcW w:w="8581" w:type="dxa"/>
            <w:shd w:val="clear" w:color="auto" w:fill="auto"/>
          </w:tcPr>
          <w:p w14:paraId="07E9F218" w14:textId="77777777" w:rsidR="00420FE8"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for the production of paper bags and boxes according to Paragraph 2, no colourants (pigments or dyes) containing mercury, lead, cadmium or chromium (VI) compounds as constituent ingredients have been added,</w:t>
            </w:r>
          </w:p>
          <w:p w14:paraId="69CF12DD" w14:textId="3C6BA01B" w:rsidR="001D73C7" w:rsidRPr="00617886" w:rsidRDefault="001D73C7" w:rsidP="00420FE8">
            <w:pPr>
              <w:pStyle w:val="Textkrper"/>
              <w:tabs>
                <w:tab w:val="left" w:pos="8222"/>
              </w:tabs>
              <w:spacing w:line="240" w:lineRule="auto"/>
              <w:ind w:left="155" w:hanging="155"/>
              <w:jc w:val="left"/>
              <w:rPr>
                <w:rFonts w:ascii="Verdana" w:hAnsi="Verdana"/>
                <w:sz w:val="20"/>
                <w:szCs w:val="20"/>
              </w:rPr>
            </w:pPr>
          </w:p>
        </w:tc>
      </w:tr>
      <w:tr w:rsidR="00A478C5" w:rsidRPr="00617886" w14:paraId="25C05FD8" w14:textId="77777777" w:rsidTr="00E141F6">
        <w:tc>
          <w:tcPr>
            <w:tcW w:w="1231" w:type="dxa"/>
            <w:shd w:val="clear" w:color="auto" w:fill="auto"/>
          </w:tcPr>
          <w:p w14:paraId="32EC0F56" w14:textId="77777777" w:rsidR="00A478C5" w:rsidRPr="00617886" w:rsidRDefault="00A478C5" w:rsidP="00420FE8">
            <w:pPr>
              <w:pStyle w:val="Textkrper"/>
              <w:tabs>
                <w:tab w:val="left" w:pos="8222"/>
              </w:tabs>
              <w:spacing w:line="240" w:lineRule="auto"/>
              <w:jc w:val="left"/>
              <w:rPr>
                <w:rFonts w:ascii="Verdana" w:hAnsi="Verdana"/>
                <w:b/>
                <w:sz w:val="20"/>
                <w:szCs w:val="20"/>
              </w:rPr>
            </w:pPr>
            <w:r>
              <w:rPr>
                <w:rFonts w:ascii="Verdana" w:hAnsi="Verdana"/>
                <w:b/>
                <w:sz w:val="20"/>
              </w:rPr>
              <w:t>3. 13</w:t>
            </w:r>
          </w:p>
        </w:tc>
        <w:tc>
          <w:tcPr>
            <w:tcW w:w="8581" w:type="dxa"/>
            <w:shd w:val="clear" w:color="auto" w:fill="auto"/>
          </w:tcPr>
          <w:p w14:paraId="366395A9" w14:textId="109A6241" w:rsidR="008129A9" w:rsidRDefault="001D73C7" w:rsidP="006558AF">
            <w:r>
              <w:t xml:space="preserve">- for the production of paper bags and boxes according to Paragraph 2, no mineral oil-based additives, colourants or base oils that contain aromatic hydrocarbons (with ≥ 10 carbon atoms) as a component have been added. </w:t>
            </w:r>
          </w:p>
          <w:p w14:paraId="3AE78F45" w14:textId="060ECE45" w:rsidR="008129A9" w:rsidRDefault="008129A9" w:rsidP="006558AF">
            <w:r>
              <w:t>- in the case of aliphatic hydrocarbons, only those substances with a chain length of C</w:t>
            </w:r>
            <w:r>
              <w:rPr>
                <w:vertAlign w:val="subscript"/>
              </w:rPr>
              <w:t>10</w:t>
            </w:r>
            <w:r>
              <w:t xml:space="preserve"> to C</w:t>
            </w:r>
            <w:r>
              <w:rPr>
                <w:vertAlign w:val="subscript"/>
              </w:rPr>
              <w:t>20</w:t>
            </w:r>
            <w:r>
              <w:t xml:space="preserve"> have been added,</w:t>
            </w:r>
          </w:p>
          <w:p w14:paraId="25152837" w14:textId="39B112A6" w:rsidR="006558AF" w:rsidRPr="00617886" w:rsidRDefault="008129A9" w:rsidP="006558AF">
            <w:pPr>
              <w:rPr>
                <w:rFonts w:eastAsiaTheme="minorHAnsi"/>
                <w:color w:val="auto"/>
              </w:rPr>
            </w:pPr>
            <w:r>
              <w:t>- plant-based substitutes for mineral oil are free of genetic engineering and sourced from sustainable cultivation</w:t>
            </w:r>
            <w:r w:rsidR="006558AF" w:rsidRPr="00617886">
              <w:rPr>
                <w:rStyle w:val="Funotenzeichen"/>
              </w:rPr>
              <w:footnoteReference w:id="7"/>
            </w:r>
            <w:r>
              <w:t>,</w:t>
            </w:r>
          </w:p>
          <w:p w14:paraId="37B494E1" w14:textId="77777777" w:rsidR="00A478C5" w:rsidRPr="00617886" w:rsidRDefault="00A478C5" w:rsidP="006558AF">
            <w:pPr>
              <w:pStyle w:val="Textkrper"/>
              <w:tabs>
                <w:tab w:val="left" w:pos="8222"/>
              </w:tabs>
              <w:spacing w:line="240" w:lineRule="auto"/>
              <w:ind w:left="155" w:hanging="155"/>
              <w:jc w:val="left"/>
              <w:rPr>
                <w:rFonts w:ascii="Verdana" w:hAnsi="Verdana"/>
                <w:sz w:val="20"/>
                <w:szCs w:val="20"/>
              </w:rPr>
            </w:pPr>
          </w:p>
        </w:tc>
      </w:tr>
      <w:tr w:rsidR="00A478C5" w:rsidRPr="00617886" w14:paraId="3D5BFA14" w14:textId="77777777" w:rsidTr="00E141F6">
        <w:tc>
          <w:tcPr>
            <w:tcW w:w="1231" w:type="dxa"/>
            <w:shd w:val="clear" w:color="auto" w:fill="auto"/>
          </w:tcPr>
          <w:p w14:paraId="6029AEB8" w14:textId="77777777" w:rsidR="00A478C5" w:rsidRPr="00617886" w:rsidRDefault="006E052A" w:rsidP="00420FE8">
            <w:pPr>
              <w:pStyle w:val="Textkrper"/>
              <w:tabs>
                <w:tab w:val="left" w:pos="8222"/>
              </w:tabs>
              <w:spacing w:line="240" w:lineRule="auto"/>
              <w:jc w:val="left"/>
              <w:rPr>
                <w:rFonts w:ascii="Verdana" w:hAnsi="Verdana"/>
                <w:b/>
                <w:sz w:val="20"/>
                <w:szCs w:val="20"/>
              </w:rPr>
            </w:pPr>
            <w:r>
              <w:rPr>
                <w:rFonts w:ascii="Verdana" w:hAnsi="Verdana"/>
                <w:b/>
                <w:sz w:val="20"/>
              </w:rPr>
              <w:t>3.14</w:t>
            </w:r>
          </w:p>
        </w:tc>
        <w:tc>
          <w:tcPr>
            <w:tcW w:w="8581" w:type="dxa"/>
            <w:shd w:val="clear" w:color="auto" w:fill="auto"/>
          </w:tcPr>
          <w:p w14:paraId="3A20AD19" w14:textId="6AA2169A" w:rsidR="00A478C5" w:rsidRPr="00617886" w:rsidRDefault="006E052A"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Appendix 28 of the German Waste Water Ordinance was observed for the production of the recycled paper and an operating journal according to Annex 2 of the German Waste Water Ordinance is kept,</w:t>
            </w:r>
          </w:p>
          <w:p w14:paraId="129D7346" w14:textId="77777777" w:rsidR="00A478C5" w:rsidRPr="00617886" w:rsidRDefault="00A478C5" w:rsidP="00420FE8">
            <w:pPr>
              <w:pStyle w:val="Textkrper"/>
              <w:tabs>
                <w:tab w:val="left" w:pos="8222"/>
              </w:tabs>
              <w:spacing w:line="240" w:lineRule="auto"/>
              <w:ind w:left="155" w:hanging="155"/>
              <w:jc w:val="left"/>
              <w:rPr>
                <w:rFonts w:ascii="Verdana" w:hAnsi="Verdana"/>
                <w:sz w:val="20"/>
                <w:szCs w:val="20"/>
              </w:rPr>
            </w:pPr>
          </w:p>
        </w:tc>
      </w:tr>
      <w:tr w:rsidR="006558AF" w:rsidRPr="00617886" w14:paraId="76836902" w14:textId="77777777" w:rsidTr="00E141F6">
        <w:tc>
          <w:tcPr>
            <w:tcW w:w="1231" w:type="dxa"/>
            <w:shd w:val="clear" w:color="auto" w:fill="auto"/>
          </w:tcPr>
          <w:p w14:paraId="0C95AD35" w14:textId="0FA9673B" w:rsidR="00000CA7" w:rsidRPr="00617886" w:rsidRDefault="00000CA7" w:rsidP="00E141F6">
            <w:pPr>
              <w:pStyle w:val="Textkrper"/>
              <w:tabs>
                <w:tab w:val="left" w:pos="8222"/>
              </w:tabs>
              <w:spacing w:line="240" w:lineRule="auto"/>
              <w:jc w:val="left"/>
              <w:rPr>
                <w:rFonts w:ascii="Verdana" w:hAnsi="Verdana"/>
                <w:b/>
                <w:sz w:val="20"/>
                <w:szCs w:val="20"/>
              </w:rPr>
            </w:pPr>
            <w:r>
              <w:rPr>
                <w:rFonts w:ascii="Verdana" w:hAnsi="Verdana"/>
                <w:b/>
                <w:sz w:val="20"/>
              </w:rPr>
              <w:t>3.14.1</w:t>
            </w:r>
          </w:p>
        </w:tc>
        <w:tc>
          <w:tcPr>
            <w:tcW w:w="8581" w:type="dxa"/>
            <w:shd w:val="clear" w:color="auto" w:fill="auto"/>
          </w:tcPr>
          <w:p w14:paraId="2E587E71" w14:textId="4DBCB74B" w:rsidR="00AE0CA3" w:rsidRDefault="001D73C7" w:rsidP="00AE0CA3">
            <w:pPr>
              <w:rPr>
                <w:color w:val="auto"/>
              </w:rPr>
            </w:pPr>
            <w:r>
              <w:t xml:space="preserve">- in the production of recycled paper, the emission limits for the waste water load that are listed by the EU Commission in the “Best Available Techniques (BAT) Reference Document for the Production of Pulp, Paper and Board PP </w:t>
            </w:r>
            <w:proofErr w:type="gramStart"/>
            <w:r>
              <w:t>BREF“</w:t>
            </w:r>
            <w:bookmarkStart w:id="3" w:name="_Ref33723479"/>
            <w:proofErr w:type="gramEnd"/>
            <w:r w:rsidR="00AE0CA3">
              <w:rPr>
                <w:vertAlign w:val="superscript"/>
              </w:rPr>
              <w:footnoteReference w:id="8"/>
            </w:r>
            <w:bookmarkEnd w:id="3"/>
            <w:r>
              <w:t xml:space="preserve"> have been complied with by direct dischargers. These limits have been implemented in Germany in Appendix 28 of the German Waste Water Ordinance (The limits listed in Table 3-2 go above and beyond the statutory requirements in some cases so that the environmental label can only be used to certify paper that is produced in a particularly environmentally friendly way), </w:t>
            </w:r>
          </w:p>
          <w:p w14:paraId="13F775CB" w14:textId="77777777" w:rsidR="00AE0CA3" w:rsidRDefault="00AE0CA3" w:rsidP="00AE0CA3"/>
          <w:p w14:paraId="176E9DD4" w14:textId="0F0AC2DF" w:rsidR="00AE0CA3" w:rsidRDefault="00AE0CA3" w:rsidP="00AE0CA3">
            <w:pPr>
              <w:spacing w:after="240"/>
            </w:pPr>
            <w:r>
              <w:t>Table 3-2 Maximum limits for the average annual emission parameters (waste water) in the paper production process (</w:t>
            </w:r>
            <w:r w:rsidR="00CD791F">
              <w:t>not</w:t>
            </w:r>
            <w:r>
              <w:t xml:space="preserve"> valid for the production of special papers)</w:t>
            </w:r>
          </w:p>
          <w:p w14:paraId="5BC50F38" w14:textId="31E5BBF9" w:rsidR="00E141F6" w:rsidRDefault="00E141F6" w:rsidP="00AE0CA3">
            <w:pPr>
              <w:spacing w:after="240"/>
            </w:pPr>
          </w:p>
          <w:p w14:paraId="5569171F" w14:textId="77777777" w:rsidR="00E141F6" w:rsidRDefault="00E141F6" w:rsidP="00AE0CA3">
            <w:pPr>
              <w:spacing w:after="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77"/>
              <w:gridCol w:w="2977"/>
              <w:gridCol w:w="3330"/>
            </w:tblGrid>
            <w:tr w:rsidR="00AE0CA3" w14:paraId="6BA1206C" w14:textId="77777777" w:rsidTr="001E2E1E">
              <w:tc>
                <w:tcPr>
                  <w:tcW w:w="2077" w:type="dxa"/>
                  <w:tcBorders>
                    <w:top w:val="single" w:sz="4" w:space="0" w:color="auto"/>
                    <w:left w:val="single" w:sz="4" w:space="0" w:color="auto"/>
                    <w:bottom w:val="single" w:sz="4" w:space="0" w:color="auto"/>
                    <w:right w:val="single" w:sz="4" w:space="0" w:color="auto"/>
                  </w:tcBorders>
                  <w:hideMark/>
                </w:tcPr>
                <w:p w14:paraId="09A98085" w14:textId="77777777" w:rsidR="00AE0CA3" w:rsidRDefault="00AE0CA3" w:rsidP="00AE0CA3">
                  <w:r>
                    <w:t>Parameter</w:t>
                  </w:r>
                </w:p>
              </w:tc>
              <w:tc>
                <w:tcPr>
                  <w:tcW w:w="6307" w:type="dxa"/>
                  <w:gridSpan w:val="2"/>
                  <w:tcBorders>
                    <w:top w:val="single" w:sz="4" w:space="0" w:color="auto"/>
                    <w:left w:val="single" w:sz="4" w:space="0" w:color="auto"/>
                    <w:bottom w:val="single" w:sz="4" w:space="0" w:color="auto"/>
                    <w:right w:val="single" w:sz="4" w:space="0" w:color="auto"/>
                  </w:tcBorders>
                  <w:hideMark/>
                </w:tcPr>
                <w:p w14:paraId="46B43220" w14:textId="77777777" w:rsidR="00AE0CA3" w:rsidRDefault="00AE0CA3" w:rsidP="00AE0CA3">
                  <w:pPr>
                    <w:jc w:val="center"/>
                  </w:pPr>
                  <w:r>
                    <w:t xml:space="preserve">Maximum limit for waste water emissions </w:t>
                  </w:r>
                </w:p>
                <w:p w14:paraId="09F3DE3B" w14:textId="77777777" w:rsidR="00AE0CA3" w:rsidRDefault="00AE0CA3" w:rsidP="00AE0CA3">
                  <w:pPr>
                    <w:jc w:val="center"/>
                  </w:pPr>
                  <w:r>
                    <w:t>(average annual value as a load or concentration)</w:t>
                  </w:r>
                </w:p>
              </w:tc>
            </w:tr>
            <w:tr w:rsidR="00AE0CA3" w14:paraId="6D8EBA85" w14:textId="77777777" w:rsidTr="001E2E1E">
              <w:tc>
                <w:tcPr>
                  <w:tcW w:w="2077" w:type="dxa"/>
                  <w:tcBorders>
                    <w:top w:val="single" w:sz="4" w:space="0" w:color="auto"/>
                    <w:left w:val="single" w:sz="4" w:space="0" w:color="auto"/>
                    <w:bottom w:val="single" w:sz="4" w:space="0" w:color="auto"/>
                    <w:right w:val="single" w:sz="4" w:space="0" w:color="auto"/>
                  </w:tcBorders>
                </w:tcPr>
                <w:p w14:paraId="1F65C8C5" w14:textId="77777777" w:rsidR="00AE0CA3" w:rsidRDefault="00AE0CA3" w:rsidP="00AE0CA3"/>
              </w:tc>
              <w:tc>
                <w:tcPr>
                  <w:tcW w:w="2977" w:type="dxa"/>
                  <w:tcBorders>
                    <w:top w:val="single" w:sz="4" w:space="0" w:color="auto"/>
                    <w:left w:val="single" w:sz="4" w:space="0" w:color="auto"/>
                    <w:bottom w:val="single" w:sz="4" w:space="0" w:color="auto"/>
                    <w:right w:val="single" w:sz="4" w:space="0" w:color="auto"/>
                  </w:tcBorders>
                  <w:hideMark/>
                </w:tcPr>
                <w:p w14:paraId="1ED3F906" w14:textId="77777777" w:rsidR="00AE0CA3" w:rsidRDefault="00AE0CA3" w:rsidP="00AE0CA3">
                  <w:pPr>
                    <w:jc w:val="center"/>
                  </w:pPr>
                  <w:r>
                    <w:t>Paper factory with deinking</w:t>
                  </w:r>
                </w:p>
              </w:tc>
              <w:tc>
                <w:tcPr>
                  <w:tcW w:w="3330" w:type="dxa"/>
                  <w:tcBorders>
                    <w:top w:val="single" w:sz="4" w:space="0" w:color="auto"/>
                    <w:left w:val="single" w:sz="4" w:space="0" w:color="auto"/>
                    <w:bottom w:val="single" w:sz="4" w:space="0" w:color="auto"/>
                    <w:right w:val="single" w:sz="4" w:space="0" w:color="auto"/>
                  </w:tcBorders>
                  <w:hideMark/>
                </w:tcPr>
                <w:p w14:paraId="45050B49" w14:textId="77777777" w:rsidR="00AE0CA3" w:rsidRDefault="00AE0CA3" w:rsidP="00AE0CA3">
                  <w:pPr>
                    <w:jc w:val="center"/>
                  </w:pPr>
                  <w:r>
                    <w:t>Paper factory without deinking</w:t>
                  </w:r>
                </w:p>
              </w:tc>
            </w:tr>
            <w:tr w:rsidR="00AE0CA3" w14:paraId="5E0423BF" w14:textId="77777777" w:rsidTr="001E2E1E">
              <w:tc>
                <w:tcPr>
                  <w:tcW w:w="2077" w:type="dxa"/>
                  <w:tcBorders>
                    <w:top w:val="single" w:sz="4" w:space="0" w:color="auto"/>
                    <w:left w:val="single" w:sz="4" w:space="0" w:color="auto"/>
                    <w:bottom w:val="single" w:sz="4" w:space="0" w:color="auto"/>
                    <w:right w:val="single" w:sz="4" w:space="0" w:color="auto"/>
                  </w:tcBorders>
                  <w:hideMark/>
                </w:tcPr>
                <w:p w14:paraId="179679B4" w14:textId="77777777" w:rsidR="00AE0CA3" w:rsidRDefault="00AE0CA3" w:rsidP="00AE0CA3">
                  <w:r>
                    <w:t>Volumetric flow rate of waste water</w:t>
                  </w:r>
                </w:p>
              </w:tc>
              <w:tc>
                <w:tcPr>
                  <w:tcW w:w="2977" w:type="dxa"/>
                  <w:tcBorders>
                    <w:top w:val="single" w:sz="4" w:space="0" w:color="auto"/>
                    <w:left w:val="single" w:sz="4" w:space="0" w:color="auto"/>
                    <w:bottom w:val="single" w:sz="4" w:space="0" w:color="auto"/>
                    <w:right w:val="single" w:sz="4" w:space="0" w:color="auto"/>
                  </w:tcBorders>
                  <w:hideMark/>
                </w:tcPr>
                <w:p w14:paraId="02C7ABC3" w14:textId="77777777" w:rsidR="00AE0CA3" w:rsidRDefault="00AE0CA3" w:rsidP="00AE0CA3">
                  <w:pPr>
                    <w:jc w:val="center"/>
                  </w:pPr>
                  <w:r>
                    <w:t>&lt;15 m</w:t>
                  </w:r>
                  <w:r>
                    <w:rPr>
                      <w:vertAlign w:val="superscript"/>
                    </w:rPr>
                    <w:t>3</w:t>
                  </w:r>
                  <w:r>
                    <w:t>/Adt</w:t>
                  </w:r>
                </w:p>
              </w:tc>
              <w:tc>
                <w:tcPr>
                  <w:tcW w:w="3330" w:type="dxa"/>
                  <w:tcBorders>
                    <w:top w:val="single" w:sz="4" w:space="0" w:color="auto"/>
                    <w:left w:val="single" w:sz="4" w:space="0" w:color="auto"/>
                    <w:bottom w:val="single" w:sz="4" w:space="0" w:color="auto"/>
                    <w:right w:val="single" w:sz="4" w:space="0" w:color="auto"/>
                  </w:tcBorders>
                  <w:hideMark/>
                </w:tcPr>
                <w:p w14:paraId="41150240" w14:textId="77777777" w:rsidR="00AE0CA3" w:rsidRDefault="00AE0CA3" w:rsidP="00AE0CA3">
                  <w:pPr>
                    <w:jc w:val="center"/>
                  </w:pPr>
                  <w:r>
                    <w:t>&lt;5 m</w:t>
                  </w:r>
                  <w:r>
                    <w:rPr>
                      <w:vertAlign w:val="superscript"/>
                    </w:rPr>
                    <w:t>3</w:t>
                  </w:r>
                  <w:r>
                    <w:t>/Adt</w:t>
                  </w:r>
                </w:p>
              </w:tc>
            </w:tr>
            <w:tr w:rsidR="00AE0CA3" w14:paraId="10637991" w14:textId="77777777" w:rsidTr="001E2E1E">
              <w:tc>
                <w:tcPr>
                  <w:tcW w:w="2077" w:type="dxa"/>
                  <w:tcBorders>
                    <w:top w:val="single" w:sz="4" w:space="0" w:color="auto"/>
                    <w:left w:val="single" w:sz="4" w:space="0" w:color="auto"/>
                    <w:bottom w:val="single" w:sz="4" w:space="0" w:color="auto"/>
                    <w:right w:val="single" w:sz="4" w:space="0" w:color="auto"/>
                  </w:tcBorders>
                  <w:hideMark/>
                </w:tcPr>
                <w:p w14:paraId="5FDC46B4" w14:textId="77777777" w:rsidR="00AE0CA3" w:rsidRDefault="00AE0CA3" w:rsidP="00AE0CA3">
                  <w:r>
                    <w:t>COD</w:t>
                  </w:r>
                </w:p>
              </w:tc>
              <w:tc>
                <w:tcPr>
                  <w:tcW w:w="2977" w:type="dxa"/>
                  <w:tcBorders>
                    <w:top w:val="single" w:sz="4" w:space="0" w:color="auto"/>
                    <w:left w:val="single" w:sz="4" w:space="0" w:color="auto"/>
                    <w:bottom w:val="single" w:sz="4" w:space="0" w:color="auto"/>
                    <w:right w:val="single" w:sz="4" w:space="0" w:color="auto"/>
                  </w:tcBorders>
                  <w:hideMark/>
                </w:tcPr>
                <w:p w14:paraId="20914BF2" w14:textId="77777777" w:rsidR="00AE0CA3" w:rsidRDefault="00AE0CA3" w:rsidP="00AE0CA3">
                  <w:pPr>
                    <w:jc w:val="center"/>
                  </w:pPr>
                  <w:r>
                    <w:t>&lt; 3 kg/Adt</w:t>
                  </w:r>
                </w:p>
              </w:tc>
              <w:tc>
                <w:tcPr>
                  <w:tcW w:w="3330" w:type="dxa"/>
                  <w:tcBorders>
                    <w:top w:val="single" w:sz="4" w:space="0" w:color="auto"/>
                    <w:left w:val="single" w:sz="4" w:space="0" w:color="auto"/>
                    <w:bottom w:val="single" w:sz="4" w:space="0" w:color="auto"/>
                    <w:right w:val="single" w:sz="4" w:space="0" w:color="auto"/>
                  </w:tcBorders>
                  <w:hideMark/>
                </w:tcPr>
                <w:p w14:paraId="011B539E" w14:textId="77777777" w:rsidR="00AE0CA3" w:rsidRDefault="00AE0CA3" w:rsidP="00AE0CA3">
                  <w:pPr>
                    <w:jc w:val="center"/>
                  </w:pPr>
                  <w:r>
                    <w:t>&lt; 1.2 kg/Adt</w:t>
                  </w:r>
                </w:p>
              </w:tc>
            </w:tr>
            <w:tr w:rsidR="00AE0CA3" w14:paraId="73AF485B" w14:textId="77777777" w:rsidTr="001E2E1E">
              <w:tc>
                <w:tcPr>
                  <w:tcW w:w="2077" w:type="dxa"/>
                  <w:tcBorders>
                    <w:top w:val="single" w:sz="4" w:space="0" w:color="auto"/>
                    <w:left w:val="single" w:sz="4" w:space="0" w:color="auto"/>
                    <w:bottom w:val="single" w:sz="4" w:space="0" w:color="auto"/>
                    <w:right w:val="single" w:sz="4" w:space="0" w:color="auto"/>
                  </w:tcBorders>
                  <w:hideMark/>
                </w:tcPr>
                <w:p w14:paraId="533B66C0" w14:textId="77777777" w:rsidR="00AE0CA3" w:rsidRDefault="00AE0CA3" w:rsidP="00AE0CA3">
                  <w:r>
                    <w:t>BSB</w:t>
                  </w:r>
                  <w:r>
                    <w:rPr>
                      <w:vertAlign w:val="subscript"/>
                    </w:rPr>
                    <w:t>5</w:t>
                  </w:r>
                </w:p>
              </w:tc>
              <w:tc>
                <w:tcPr>
                  <w:tcW w:w="6307" w:type="dxa"/>
                  <w:gridSpan w:val="2"/>
                  <w:tcBorders>
                    <w:top w:val="single" w:sz="4" w:space="0" w:color="auto"/>
                    <w:left w:val="single" w:sz="4" w:space="0" w:color="auto"/>
                    <w:bottom w:val="single" w:sz="4" w:space="0" w:color="auto"/>
                    <w:right w:val="single" w:sz="4" w:space="0" w:color="auto"/>
                  </w:tcBorders>
                  <w:hideMark/>
                </w:tcPr>
                <w:p w14:paraId="28E1A623" w14:textId="77777777" w:rsidR="00AE0CA3" w:rsidRDefault="00AE0CA3" w:rsidP="00AE0CA3">
                  <w:pPr>
                    <w:jc w:val="center"/>
                  </w:pPr>
                  <w:r>
                    <w:t>&lt; 0.15 kg/Adt or &lt;25 mg/l</w:t>
                  </w:r>
                </w:p>
              </w:tc>
            </w:tr>
            <w:tr w:rsidR="00AE0CA3" w14:paraId="1EA3CA88" w14:textId="77777777" w:rsidTr="001E2E1E">
              <w:tc>
                <w:tcPr>
                  <w:tcW w:w="2077" w:type="dxa"/>
                  <w:tcBorders>
                    <w:top w:val="single" w:sz="4" w:space="0" w:color="auto"/>
                    <w:left w:val="single" w:sz="4" w:space="0" w:color="auto"/>
                    <w:bottom w:val="single" w:sz="4" w:space="0" w:color="auto"/>
                    <w:right w:val="single" w:sz="4" w:space="0" w:color="auto"/>
                  </w:tcBorders>
                  <w:hideMark/>
                </w:tcPr>
                <w:p w14:paraId="2677BB61" w14:textId="77777777" w:rsidR="00AE0CA3" w:rsidRDefault="00AE0CA3" w:rsidP="00AE0CA3">
                  <w:r>
                    <w:t>AOX</w:t>
                  </w:r>
                </w:p>
              </w:tc>
              <w:tc>
                <w:tcPr>
                  <w:tcW w:w="6307" w:type="dxa"/>
                  <w:gridSpan w:val="2"/>
                  <w:tcBorders>
                    <w:top w:val="single" w:sz="4" w:space="0" w:color="auto"/>
                    <w:left w:val="single" w:sz="4" w:space="0" w:color="auto"/>
                    <w:bottom w:val="single" w:sz="4" w:space="0" w:color="auto"/>
                    <w:right w:val="single" w:sz="4" w:space="0" w:color="auto"/>
                  </w:tcBorders>
                  <w:hideMark/>
                </w:tcPr>
                <w:p w14:paraId="5A5C3681" w14:textId="77777777" w:rsidR="00AE0CA3" w:rsidRDefault="00AE0CA3" w:rsidP="00AE0CA3">
                  <w:pPr>
                    <w:jc w:val="center"/>
                  </w:pPr>
                  <w:r>
                    <w:t>&lt; 0.01 kg/Adt</w:t>
                  </w:r>
                </w:p>
              </w:tc>
            </w:tr>
            <w:tr w:rsidR="00AE0CA3" w14:paraId="3003C53D" w14:textId="77777777" w:rsidTr="001E2E1E">
              <w:tc>
                <w:tcPr>
                  <w:tcW w:w="2077" w:type="dxa"/>
                  <w:tcBorders>
                    <w:top w:val="single" w:sz="4" w:space="0" w:color="auto"/>
                    <w:left w:val="single" w:sz="4" w:space="0" w:color="auto"/>
                    <w:bottom w:val="single" w:sz="4" w:space="0" w:color="auto"/>
                    <w:right w:val="single" w:sz="4" w:space="0" w:color="auto"/>
                  </w:tcBorders>
                  <w:hideMark/>
                </w:tcPr>
                <w:p w14:paraId="0C9D8AD1" w14:textId="77777777" w:rsidR="00AE0CA3" w:rsidRDefault="00AE0CA3" w:rsidP="00AE0CA3">
                  <w:r>
                    <w:t>Total N (inorganic + organic N) (TN</w:t>
                  </w:r>
                  <w:r>
                    <w:rPr>
                      <w:vertAlign w:val="subscript"/>
                    </w:rPr>
                    <w:t>b</w:t>
                  </w:r>
                  <w:r>
                    <w:t>)</w:t>
                  </w:r>
                </w:p>
              </w:tc>
              <w:tc>
                <w:tcPr>
                  <w:tcW w:w="6307" w:type="dxa"/>
                  <w:gridSpan w:val="2"/>
                  <w:tcBorders>
                    <w:top w:val="single" w:sz="4" w:space="0" w:color="auto"/>
                    <w:left w:val="single" w:sz="4" w:space="0" w:color="auto"/>
                    <w:bottom w:val="single" w:sz="4" w:space="0" w:color="auto"/>
                    <w:right w:val="single" w:sz="4" w:space="0" w:color="auto"/>
                  </w:tcBorders>
                  <w:hideMark/>
                </w:tcPr>
                <w:p w14:paraId="12E32B60" w14:textId="77777777" w:rsidR="00AE0CA3" w:rsidRDefault="00AE0CA3" w:rsidP="00AE0CA3">
                  <w:pPr>
                    <w:jc w:val="center"/>
                  </w:pPr>
                  <w:r>
                    <w:t>0.07 kg/Adt or 15 mg/l</w:t>
                  </w:r>
                </w:p>
              </w:tc>
            </w:tr>
            <w:tr w:rsidR="00AE0CA3" w14:paraId="184E8159" w14:textId="77777777" w:rsidTr="001E2E1E">
              <w:tc>
                <w:tcPr>
                  <w:tcW w:w="2077" w:type="dxa"/>
                  <w:tcBorders>
                    <w:top w:val="single" w:sz="4" w:space="0" w:color="auto"/>
                    <w:left w:val="single" w:sz="4" w:space="0" w:color="auto"/>
                    <w:bottom w:val="single" w:sz="4" w:space="0" w:color="auto"/>
                    <w:right w:val="single" w:sz="4" w:space="0" w:color="auto"/>
                  </w:tcBorders>
                  <w:hideMark/>
                </w:tcPr>
                <w:p w14:paraId="1BB273F4" w14:textId="77777777" w:rsidR="00AE0CA3" w:rsidRDefault="00AE0CA3" w:rsidP="00AE0CA3">
                  <w:r>
                    <w:t>Total P</w:t>
                  </w:r>
                </w:p>
              </w:tc>
              <w:tc>
                <w:tcPr>
                  <w:tcW w:w="6307" w:type="dxa"/>
                  <w:gridSpan w:val="2"/>
                  <w:tcBorders>
                    <w:top w:val="single" w:sz="4" w:space="0" w:color="auto"/>
                    <w:left w:val="single" w:sz="4" w:space="0" w:color="auto"/>
                    <w:bottom w:val="single" w:sz="4" w:space="0" w:color="auto"/>
                    <w:right w:val="single" w:sz="4" w:space="0" w:color="auto"/>
                  </w:tcBorders>
                  <w:hideMark/>
                </w:tcPr>
                <w:p w14:paraId="2817135C" w14:textId="77777777" w:rsidR="00AE0CA3" w:rsidRDefault="00AE0CA3" w:rsidP="00AE0CA3">
                  <w:pPr>
                    <w:jc w:val="center"/>
                  </w:pPr>
                  <w:r>
                    <w:t>0.008 kg/Adt or 1.2 mg/l</w:t>
                  </w:r>
                </w:p>
              </w:tc>
            </w:tr>
          </w:tbl>
          <w:p w14:paraId="652278DB" w14:textId="0FC8F27E" w:rsidR="00AE0CA3" w:rsidRPr="00617886" w:rsidRDefault="00AE0CA3" w:rsidP="00AE0CA3">
            <w:pPr>
              <w:pStyle w:val="Textkrper"/>
              <w:tabs>
                <w:tab w:val="left" w:pos="8222"/>
              </w:tabs>
              <w:spacing w:line="240" w:lineRule="auto"/>
              <w:ind w:left="155" w:hanging="155"/>
              <w:jc w:val="left"/>
              <w:rPr>
                <w:rFonts w:ascii="Verdana" w:hAnsi="Verdana"/>
                <w:sz w:val="20"/>
                <w:szCs w:val="20"/>
              </w:rPr>
            </w:pPr>
          </w:p>
        </w:tc>
      </w:tr>
      <w:tr w:rsidR="006558AF" w:rsidRPr="00617886" w14:paraId="001C8263" w14:textId="77777777" w:rsidTr="00E141F6">
        <w:tc>
          <w:tcPr>
            <w:tcW w:w="1231" w:type="dxa"/>
            <w:shd w:val="clear" w:color="auto" w:fill="auto"/>
          </w:tcPr>
          <w:p w14:paraId="2A6070CE" w14:textId="4C9079FB" w:rsidR="00AE0CA3" w:rsidRPr="00617886" w:rsidRDefault="00AE0CA3" w:rsidP="0008224B">
            <w:pPr>
              <w:pStyle w:val="Textkrper"/>
              <w:tabs>
                <w:tab w:val="left" w:pos="8222"/>
              </w:tabs>
              <w:spacing w:line="240" w:lineRule="auto"/>
              <w:jc w:val="left"/>
              <w:rPr>
                <w:rFonts w:ascii="Verdana" w:hAnsi="Verdana"/>
                <w:b/>
                <w:sz w:val="20"/>
                <w:szCs w:val="20"/>
              </w:rPr>
            </w:pPr>
            <w:r>
              <w:rPr>
                <w:rFonts w:ascii="Verdana" w:hAnsi="Verdana"/>
                <w:b/>
                <w:sz w:val="20"/>
              </w:rPr>
              <w:lastRenderedPageBreak/>
              <w:t>3.14.2</w:t>
            </w:r>
          </w:p>
        </w:tc>
        <w:tc>
          <w:tcPr>
            <w:tcW w:w="8581" w:type="dxa"/>
            <w:shd w:val="clear" w:color="auto" w:fill="auto"/>
          </w:tcPr>
          <w:p w14:paraId="4DB3D863" w14:textId="0D843050" w:rsidR="006558AF" w:rsidRDefault="00620D13"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indirect dischargers declare compliance with the emission limits for the parameters stated in Table 3-2 after treatment,</w:t>
            </w:r>
          </w:p>
          <w:p w14:paraId="50D46B12" w14:textId="2B17DE31" w:rsidR="002B36E5" w:rsidRPr="00AE0CA3" w:rsidRDefault="002B36E5" w:rsidP="00420FE8">
            <w:pPr>
              <w:pStyle w:val="Textkrper"/>
              <w:tabs>
                <w:tab w:val="left" w:pos="8222"/>
              </w:tabs>
              <w:spacing w:line="240" w:lineRule="auto"/>
              <w:ind w:left="155" w:hanging="155"/>
              <w:jc w:val="left"/>
              <w:rPr>
                <w:rFonts w:ascii="Verdana" w:hAnsi="Verdana"/>
                <w:sz w:val="20"/>
                <w:szCs w:val="20"/>
              </w:rPr>
            </w:pPr>
          </w:p>
        </w:tc>
      </w:tr>
      <w:tr w:rsidR="0087347B" w:rsidRPr="00617886" w14:paraId="629D733F" w14:textId="77777777" w:rsidTr="00E141F6">
        <w:tc>
          <w:tcPr>
            <w:tcW w:w="1231" w:type="dxa"/>
            <w:shd w:val="clear" w:color="auto" w:fill="auto"/>
          </w:tcPr>
          <w:p w14:paraId="49F9652C" w14:textId="6FDD3A4D" w:rsidR="0087347B" w:rsidRPr="00617886" w:rsidRDefault="00AE0CA3" w:rsidP="00420FE8">
            <w:pPr>
              <w:pStyle w:val="Textkrper"/>
              <w:tabs>
                <w:tab w:val="left" w:pos="8222"/>
              </w:tabs>
              <w:spacing w:line="240" w:lineRule="auto"/>
              <w:jc w:val="left"/>
              <w:rPr>
                <w:rFonts w:ascii="Verdana" w:hAnsi="Verdana"/>
                <w:b/>
                <w:sz w:val="20"/>
                <w:szCs w:val="20"/>
              </w:rPr>
            </w:pPr>
            <w:r>
              <w:rPr>
                <w:rFonts w:ascii="Verdana" w:hAnsi="Verdana"/>
                <w:b/>
                <w:sz w:val="20"/>
              </w:rPr>
              <w:t>3.15</w:t>
            </w:r>
          </w:p>
        </w:tc>
        <w:tc>
          <w:tcPr>
            <w:tcW w:w="8581" w:type="dxa"/>
            <w:shd w:val="clear" w:color="auto" w:fill="auto"/>
          </w:tcPr>
          <w:p w14:paraId="3EB817D8" w14:textId="03F776DA" w:rsidR="0087347B" w:rsidRPr="00AE0CA3" w:rsidRDefault="00AE0CA3"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rPr>
              <w:t>- the remaining waste materials have been recycled as far as possible,</w:t>
            </w:r>
          </w:p>
          <w:p w14:paraId="4D2A4791" w14:textId="1CB1C970" w:rsidR="00AE0CA3" w:rsidRPr="00AE0CA3" w:rsidRDefault="00AE0CA3" w:rsidP="00AE0CA3">
            <w:pPr>
              <w:rPr>
                <w:color w:val="auto"/>
              </w:rPr>
            </w:pPr>
            <w:r>
              <w:t xml:space="preserve">- in the production of recycled paper, the following waste material limits, including sludge from the treatment of the process water, given as an annual average figure as a dry mass, were not exceeded: </w:t>
            </w:r>
          </w:p>
          <w:p w14:paraId="6A086ECC" w14:textId="77777777" w:rsidR="00AE0CA3" w:rsidRPr="00AE0CA3" w:rsidRDefault="00AE0CA3" w:rsidP="00AE0CA3">
            <w:r>
              <w:t>Paper factory with deinking: 250 kg/t of product</w:t>
            </w:r>
          </w:p>
          <w:p w14:paraId="0459138D" w14:textId="77777777" w:rsidR="00AE0CA3" w:rsidRDefault="00AE0CA3" w:rsidP="00AE0CA3">
            <w:pPr>
              <w:pStyle w:val="Textkrper"/>
              <w:tabs>
                <w:tab w:val="left" w:pos="8222"/>
              </w:tabs>
              <w:spacing w:line="240" w:lineRule="auto"/>
              <w:ind w:left="155" w:hanging="155"/>
              <w:jc w:val="left"/>
              <w:rPr>
                <w:rFonts w:ascii="Verdana" w:hAnsi="Verdana"/>
                <w:sz w:val="20"/>
                <w:szCs w:val="20"/>
              </w:rPr>
            </w:pPr>
            <w:r>
              <w:rPr>
                <w:rFonts w:ascii="Verdana" w:hAnsi="Verdana"/>
                <w:sz w:val="20"/>
              </w:rPr>
              <w:t>Paper factory without deinking: 100 kg/t of product</w:t>
            </w:r>
          </w:p>
          <w:p w14:paraId="7FAB1DA6" w14:textId="07813EF6" w:rsidR="002B36E5" w:rsidRPr="00AE0CA3" w:rsidRDefault="002B36E5" w:rsidP="00AE0CA3">
            <w:pPr>
              <w:pStyle w:val="Textkrper"/>
              <w:tabs>
                <w:tab w:val="left" w:pos="8222"/>
              </w:tabs>
              <w:spacing w:line="240" w:lineRule="auto"/>
              <w:ind w:left="155" w:hanging="155"/>
              <w:jc w:val="left"/>
              <w:rPr>
                <w:rFonts w:ascii="Verdana" w:hAnsi="Verdana"/>
                <w:sz w:val="20"/>
                <w:szCs w:val="20"/>
              </w:rPr>
            </w:pPr>
          </w:p>
        </w:tc>
      </w:tr>
      <w:tr w:rsidR="0087347B" w:rsidRPr="00617886" w14:paraId="66DAFF63" w14:textId="77777777" w:rsidTr="00E141F6">
        <w:tc>
          <w:tcPr>
            <w:tcW w:w="1231" w:type="dxa"/>
            <w:shd w:val="clear" w:color="auto" w:fill="auto"/>
          </w:tcPr>
          <w:p w14:paraId="4D5B2129" w14:textId="3DBF744B" w:rsidR="0087347B" w:rsidRPr="00617886" w:rsidRDefault="00AE0CA3" w:rsidP="00420FE8">
            <w:pPr>
              <w:pStyle w:val="Textkrper"/>
              <w:tabs>
                <w:tab w:val="left" w:pos="8222"/>
              </w:tabs>
              <w:spacing w:line="240" w:lineRule="auto"/>
              <w:jc w:val="left"/>
              <w:rPr>
                <w:rFonts w:ascii="Verdana" w:hAnsi="Verdana"/>
                <w:b/>
                <w:sz w:val="20"/>
                <w:szCs w:val="20"/>
              </w:rPr>
            </w:pPr>
            <w:r>
              <w:rPr>
                <w:rFonts w:ascii="Verdana" w:hAnsi="Verdana"/>
                <w:b/>
                <w:sz w:val="20"/>
              </w:rPr>
              <w:t>3.16</w:t>
            </w:r>
          </w:p>
        </w:tc>
        <w:tc>
          <w:tcPr>
            <w:tcW w:w="8581" w:type="dxa"/>
            <w:shd w:val="clear" w:color="auto" w:fill="auto"/>
          </w:tcPr>
          <w:p w14:paraId="25AB44B7" w14:textId="563306E3" w:rsidR="00AE0CA3" w:rsidRDefault="00620D13" w:rsidP="00AE0CA3">
            <w:pPr>
              <w:rPr>
                <w:color w:val="auto"/>
              </w:rPr>
            </w:pPr>
            <w:r>
              <w:t xml:space="preserve">- for the production of recycled paper, the following limits for the consumption of electricity and process heat were not exceeded as an annual average (The paper industry is one of the six most energy-intensive industries in Germany. The Blue Angel also sets incentives in its Basic Award Criteria for companies to further reduce the consumption of heat and electricity at the production sites): </w:t>
            </w:r>
          </w:p>
          <w:p w14:paraId="3677F91F" w14:textId="77777777" w:rsidR="00AE0CA3" w:rsidRDefault="00AE0CA3" w:rsidP="00AE0CA3"/>
          <w:p w14:paraId="339CEF88" w14:textId="77777777" w:rsidR="00AE0CA3" w:rsidRDefault="00AE0CA3" w:rsidP="00AE0CA3">
            <w:r>
              <w:t>Table 3-3 Maximum limits for the consumption of process heat and electricity in the production of paper (annual average value in kWh/t)</w:t>
            </w:r>
          </w:p>
          <w:tbl>
            <w:tblPr>
              <w:tblStyle w:val="Tabellenraster"/>
              <w:tblW w:w="0" w:type="auto"/>
              <w:tblLook w:val="04A0" w:firstRow="1" w:lastRow="0" w:firstColumn="1" w:lastColumn="0" w:noHBand="0" w:noVBand="1"/>
            </w:tblPr>
            <w:tblGrid>
              <w:gridCol w:w="3070"/>
              <w:gridCol w:w="2513"/>
              <w:gridCol w:w="2801"/>
            </w:tblGrid>
            <w:tr w:rsidR="00AE0CA3" w14:paraId="559ABC6A" w14:textId="77777777" w:rsidTr="008A4B63">
              <w:tc>
                <w:tcPr>
                  <w:tcW w:w="3070" w:type="dxa"/>
                  <w:tcBorders>
                    <w:top w:val="single" w:sz="4" w:space="0" w:color="auto"/>
                    <w:left w:val="single" w:sz="4" w:space="0" w:color="auto"/>
                    <w:bottom w:val="single" w:sz="4" w:space="0" w:color="auto"/>
                    <w:right w:val="single" w:sz="4" w:space="0" w:color="auto"/>
                  </w:tcBorders>
                </w:tcPr>
                <w:p w14:paraId="269E0302" w14:textId="77777777" w:rsidR="00AE0CA3" w:rsidRDefault="00AE0CA3" w:rsidP="00AE0CA3"/>
              </w:tc>
              <w:tc>
                <w:tcPr>
                  <w:tcW w:w="2513" w:type="dxa"/>
                  <w:tcBorders>
                    <w:top w:val="single" w:sz="4" w:space="0" w:color="auto"/>
                    <w:left w:val="single" w:sz="4" w:space="0" w:color="auto"/>
                    <w:bottom w:val="single" w:sz="4" w:space="0" w:color="auto"/>
                    <w:right w:val="single" w:sz="4" w:space="0" w:color="auto"/>
                  </w:tcBorders>
                  <w:hideMark/>
                </w:tcPr>
                <w:p w14:paraId="16E62BF6" w14:textId="77777777" w:rsidR="00AE0CA3" w:rsidRDefault="00AE0CA3" w:rsidP="00AE0CA3">
                  <w:r>
                    <w:t>Process heat in kWh/t</w:t>
                  </w:r>
                </w:p>
              </w:tc>
              <w:tc>
                <w:tcPr>
                  <w:tcW w:w="2801" w:type="dxa"/>
                  <w:tcBorders>
                    <w:top w:val="single" w:sz="4" w:space="0" w:color="auto"/>
                    <w:left w:val="single" w:sz="4" w:space="0" w:color="auto"/>
                    <w:bottom w:val="single" w:sz="4" w:space="0" w:color="auto"/>
                    <w:right w:val="single" w:sz="4" w:space="0" w:color="auto"/>
                  </w:tcBorders>
                  <w:hideMark/>
                </w:tcPr>
                <w:p w14:paraId="173133BE" w14:textId="77777777" w:rsidR="00AE0CA3" w:rsidRDefault="00AE0CA3" w:rsidP="00AE0CA3">
                  <w:r>
                    <w:t>Electrical power in kWh/t</w:t>
                  </w:r>
                </w:p>
              </w:tc>
            </w:tr>
            <w:tr w:rsidR="00AE0CA3" w14:paraId="069D7730" w14:textId="77777777" w:rsidTr="008A4B63">
              <w:tc>
                <w:tcPr>
                  <w:tcW w:w="3070" w:type="dxa"/>
                  <w:tcBorders>
                    <w:top w:val="single" w:sz="4" w:space="0" w:color="auto"/>
                    <w:left w:val="single" w:sz="4" w:space="0" w:color="auto"/>
                    <w:bottom w:val="single" w:sz="4" w:space="0" w:color="auto"/>
                    <w:right w:val="single" w:sz="4" w:space="0" w:color="auto"/>
                  </w:tcBorders>
                  <w:hideMark/>
                </w:tcPr>
                <w:p w14:paraId="2C3B17C9" w14:textId="77777777" w:rsidR="00AE0CA3" w:rsidRDefault="00AE0CA3" w:rsidP="00AE0CA3">
                  <w:r>
                    <w:t>Paper factory with deinking</w:t>
                  </w:r>
                </w:p>
              </w:tc>
              <w:tc>
                <w:tcPr>
                  <w:tcW w:w="2513" w:type="dxa"/>
                  <w:tcBorders>
                    <w:top w:val="single" w:sz="4" w:space="0" w:color="auto"/>
                    <w:left w:val="single" w:sz="4" w:space="0" w:color="auto"/>
                    <w:bottom w:val="single" w:sz="4" w:space="0" w:color="auto"/>
                    <w:right w:val="single" w:sz="4" w:space="0" w:color="auto"/>
                  </w:tcBorders>
                  <w:hideMark/>
                </w:tcPr>
                <w:p w14:paraId="720C355C" w14:textId="77777777" w:rsidR="00AE0CA3" w:rsidRDefault="00AE0CA3" w:rsidP="00AE0CA3">
                  <w:pPr>
                    <w:jc w:val="center"/>
                  </w:pPr>
                  <w:r>
                    <w:t>1,400</w:t>
                  </w:r>
                </w:p>
              </w:tc>
              <w:tc>
                <w:tcPr>
                  <w:tcW w:w="2801" w:type="dxa"/>
                  <w:tcBorders>
                    <w:top w:val="single" w:sz="4" w:space="0" w:color="auto"/>
                    <w:left w:val="single" w:sz="4" w:space="0" w:color="auto"/>
                    <w:bottom w:val="single" w:sz="4" w:space="0" w:color="auto"/>
                    <w:right w:val="single" w:sz="4" w:space="0" w:color="auto"/>
                  </w:tcBorders>
                  <w:hideMark/>
                </w:tcPr>
                <w:p w14:paraId="5968053A" w14:textId="77777777" w:rsidR="00AE0CA3" w:rsidRDefault="00AE0CA3" w:rsidP="00AE0CA3">
                  <w:pPr>
                    <w:jc w:val="center"/>
                  </w:pPr>
                  <w:r>
                    <w:t>1,000</w:t>
                  </w:r>
                </w:p>
              </w:tc>
            </w:tr>
            <w:tr w:rsidR="00AE0CA3" w14:paraId="0D19513D" w14:textId="77777777" w:rsidTr="008A4B63">
              <w:tc>
                <w:tcPr>
                  <w:tcW w:w="3070" w:type="dxa"/>
                  <w:tcBorders>
                    <w:top w:val="single" w:sz="4" w:space="0" w:color="auto"/>
                    <w:left w:val="single" w:sz="4" w:space="0" w:color="auto"/>
                    <w:bottom w:val="single" w:sz="4" w:space="0" w:color="auto"/>
                    <w:right w:val="single" w:sz="4" w:space="0" w:color="auto"/>
                  </w:tcBorders>
                  <w:hideMark/>
                </w:tcPr>
                <w:p w14:paraId="61F21C3D" w14:textId="29792001" w:rsidR="00AE0CA3" w:rsidRDefault="00AE0CA3" w:rsidP="00AE0CA3">
                  <w:r>
                    <w:t xml:space="preserve">Paper factory without </w:t>
                  </w:r>
                  <w:r w:rsidR="008A4B63">
                    <w:br/>
                  </w:r>
                  <w:r>
                    <w:t>deinking</w:t>
                  </w:r>
                </w:p>
              </w:tc>
              <w:tc>
                <w:tcPr>
                  <w:tcW w:w="2513" w:type="dxa"/>
                  <w:tcBorders>
                    <w:top w:val="single" w:sz="4" w:space="0" w:color="auto"/>
                    <w:left w:val="single" w:sz="4" w:space="0" w:color="auto"/>
                    <w:bottom w:val="single" w:sz="4" w:space="0" w:color="auto"/>
                    <w:right w:val="single" w:sz="4" w:space="0" w:color="auto"/>
                  </w:tcBorders>
                  <w:hideMark/>
                </w:tcPr>
                <w:p w14:paraId="20324C05" w14:textId="77777777" w:rsidR="00AE0CA3" w:rsidRDefault="00AE0CA3" w:rsidP="00AE0CA3">
                  <w:pPr>
                    <w:jc w:val="center"/>
                  </w:pPr>
                  <w:r>
                    <w:t>1,700</w:t>
                  </w:r>
                </w:p>
              </w:tc>
              <w:tc>
                <w:tcPr>
                  <w:tcW w:w="2801" w:type="dxa"/>
                  <w:tcBorders>
                    <w:top w:val="single" w:sz="4" w:space="0" w:color="auto"/>
                    <w:left w:val="single" w:sz="4" w:space="0" w:color="auto"/>
                    <w:bottom w:val="single" w:sz="4" w:space="0" w:color="auto"/>
                    <w:right w:val="single" w:sz="4" w:space="0" w:color="auto"/>
                  </w:tcBorders>
                  <w:hideMark/>
                </w:tcPr>
                <w:p w14:paraId="449B18F5" w14:textId="77777777" w:rsidR="00AE0CA3" w:rsidRDefault="00AE0CA3" w:rsidP="00AE0CA3">
                  <w:pPr>
                    <w:jc w:val="center"/>
                  </w:pPr>
                  <w:r>
                    <w:t>500</w:t>
                  </w:r>
                </w:p>
              </w:tc>
            </w:tr>
          </w:tbl>
          <w:p w14:paraId="3C14039A" w14:textId="77777777" w:rsidR="0087347B" w:rsidRPr="00AE0CA3" w:rsidRDefault="0087347B" w:rsidP="00420FE8">
            <w:pPr>
              <w:pStyle w:val="Textkrper"/>
              <w:tabs>
                <w:tab w:val="left" w:pos="8222"/>
              </w:tabs>
              <w:spacing w:line="240" w:lineRule="auto"/>
              <w:ind w:left="155" w:hanging="155"/>
              <w:jc w:val="left"/>
              <w:rPr>
                <w:rFonts w:ascii="Verdana" w:hAnsi="Verdana"/>
                <w:sz w:val="20"/>
                <w:szCs w:val="20"/>
              </w:rPr>
            </w:pPr>
          </w:p>
        </w:tc>
      </w:tr>
      <w:tr w:rsidR="0087347B" w:rsidRPr="00617886" w14:paraId="6465CD00" w14:textId="77777777" w:rsidTr="00E141F6">
        <w:tc>
          <w:tcPr>
            <w:tcW w:w="1231" w:type="dxa"/>
            <w:shd w:val="clear" w:color="auto" w:fill="auto"/>
          </w:tcPr>
          <w:p w14:paraId="7A846E00" w14:textId="53446706" w:rsidR="0087347B" w:rsidRPr="00617886" w:rsidRDefault="00AE0CA3" w:rsidP="00420FE8">
            <w:pPr>
              <w:pStyle w:val="Textkrper"/>
              <w:tabs>
                <w:tab w:val="left" w:pos="8222"/>
              </w:tabs>
              <w:spacing w:line="240" w:lineRule="auto"/>
              <w:jc w:val="left"/>
              <w:rPr>
                <w:rFonts w:ascii="Verdana" w:hAnsi="Verdana"/>
                <w:b/>
                <w:sz w:val="20"/>
                <w:szCs w:val="20"/>
              </w:rPr>
            </w:pPr>
            <w:r>
              <w:rPr>
                <w:rFonts w:ascii="Verdana" w:hAnsi="Verdana"/>
                <w:b/>
                <w:sz w:val="20"/>
              </w:rPr>
              <w:t>3.17</w:t>
            </w:r>
          </w:p>
        </w:tc>
        <w:tc>
          <w:tcPr>
            <w:tcW w:w="8581" w:type="dxa"/>
            <w:shd w:val="clear" w:color="auto" w:fill="auto"/>
          </w:tcPr>
          <w:p w14:paraId="457CEB90" w14:textId="6C03B648" w:rsidR="0087347B" w:rsidRPr="00AE0CA3" w:rsidRDefault="00620D13" w:rsidP="00AE0CA3">
            <w:r>
              <w:t>- if the paper is used for applications that do not come under the scope of DE-UZ 217b, it is not permitted to label them with the Blue Angel logo but instead only the following wording is permitted as a reference to the environmental label: “The paper is made from 100% recovered paper and meets the requirements for the Blue Angel environmental label”.</w:t>
            </w:r>
          </w:p>
        </w:tc>
      </w:tr>
      <w:tr w:rsidR="00A478C5" w:rsidRPr="00617886" w14:paraId="49C0D688" w14:textId="77777777" w:rsidTr="00E141F6">
        <w:tc>
          <w:tcPr>
            <w:tcW w:w="1231" w:type="dxa"/>
            <w:shd w:val="clear" w:color="auto" w:fill="auto"/>
          </w:tcPr>
          <w:p w14:paraId="5C0C21D1" w14:textId="34228051" w:rsidR="00A478C5" w:rsidRPr="00617886" w:rsidRDefault="00120964" w:rsidP="00420FE8">
            <w:pPr>
              <w:pStyle w:val="Textkrper"/>
              <w:tabs>
                <w:tab w:val="left" w:pos="8222"/>
              </w:tabs>
              <w:spacing w:line="240" w:lineRule="auto"/>
              <w:jc w:val="left"/>
              <w:rPr>
                <w:rFonts w:ascii="Verdana" w:hAnsi="Verdana"/>
                <w:b/>
                <w:sz w:val="20"/>
                <w:szCs w:val="20"/>
              </w:rPr>
            </w:pPr>
            <w:r>
              <w:rPr>
                <w:rFonts w:ascii="Verdana" w:hAnsi="Verdana"/>
                <w:b/>
                <w:sz w:val="20"/>
              </w:rPr>
              <w:t>3.18</w:t>
            </w:r>
          </w:p>
        </w:tc>
        <w:tc>
          <w:tcPr>
            <w:tcW w:w="8581" w:type="dxa"/>
            <w:shd w:val="clear" w:color="auto" w:fill="auto"/>
          </w:tcPr>
          <w:p w14:paraId="73FE0EB2" w14:textId="12C8A246" w:rsidR="00A478C5" w:rsidRPr="008B3AD8" w:rsidRDefault="00A478C5" w:rsidP="00AE0CA3">
            <w:pPr>
              <w:rPr>
                <w:color w:val="auto"/>
              </w:rPr>
            </w:pPr>
            <w:r>
              <w:t>- we have taken note of the fact that any future revision of the environmental label will require verifications that renewable raw materials, which are used e.g. for the production of mineral oil-free colourants, are obtained from responsible, GMO-free sources that are located in the local region as far as possible and have been tested by a suitable certification system.</w:t>
            </w:r>
            <w:r w:rsidR="008B3AD8">
              <w:t xml:space="preserve"> </w:t>
            </w:r>
            <w:r w:rsidR="00AE0CA3">
              <w:t>In addition, the proportion of microplastics in the paper used for bags for organic waste will be examined in future.</w:t>
            </w:r>
          </w:p>
          <w:p w14:paraId="621E9180" w14:textId="2E88BB6A" w:rsidR="00AE0CA3" w:rsidRPr="00617886" w:rsidRDefault="00AE0CA3" w:rsidP="00AE0CA3">
            <w:r>
              <w:t>- the energy generation during the production of the paper will be examined more closely in the future.</w:t>
            </w:r>
          </w:p>
        </w:tc>
      </w:tr>
    </w:tbl>
    <w:p w14:paraId="05F302FD" w14:textId="6EE9B891" w:rsidR="00581C26" w:rsidRDefault="00581C26" w:rsidP="00B25A65">
      <w:pPr>
        <w:rPr>
          <w:rFonts w:cs="Arial"/>
        </w:rPr>
      </w:pPr>
    </w:p>
    <w:p w14:paraId="175A88C4" w14:textId="073D84DF" w:rsidR="00E141F6" w:rsidRDefault="00E141F6" w:rsidP="00B25A65">
      <w:pPr>
        <w:rPr>
          <w:rFonts w:cs="Arial"/>
        </w:rPr>
      </w:pPr>
    </w:p>
    <w:p w14:paraId="5E1F254B" w14:textId="6BE6969E" w:rsidR="00E141F6" w:rsidRDefault="00E141F6" w:rsidP="00B25A65">
      <w:pPr>
        <w:rPr>
          <w:rFonts w:cs="Arial"/>
        </w:rPr>
      </w:pPr>
    </w:p>
    <w:p w14:paraId="082D2C94" w14:textId="4813E2F0" w:rsidR="00E141F6" w:rsidRDefault="00E141F6" w:rsidP="00B25A65">
      <w:pPr>
        <w:rPr>
          <w:rFonts w:cs="Arial"/>
        </w:rPr>
      </w:pPr>
    </w:p>
    <w:p w14:paraId="3DF5DB5E" w14:textId="77777777" w:rsidR="00E141F6" w:rsidRPr="00617886" w:rsidRDefault="00E141F6"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F1664D" w14:paraId="7A16F22A" w14:textId="77777777" w:rsidTr="00120964">
        <w:trPr>
          <w:trHeight w:val="847"/>
        </w:trPr>
        <w:tc>
          <w:tcPr>
            <w:tcW w:w="1273" w:type="dxa"/>
            <w:tcBorders>
              <w:top w:val="nil"/>
              <w:left w:val="nil"/>
              <w:bottom w:val="nil"/>
            </w:tcBorders>
            <w:vAlign w:val="center"/>
          </w:tcPr>
          <w:p w14:paraId="56C666BF" w14:textId="77777777" w:rsidR="00F53FA5" w:rsidRPr="00F1664D" w:rsidRDefault="00F53FA5" w:rsidP="00B25A65">
            <w:pPr>
              <w:rPr>
                <w:rFonts w:cs="Arial"/>
                <w:b/>
              </w:rPr>
            </w:pPr>
            <w:r>
              <w:rPr>
                <w:b/>
              </w:rPr>
              <w:lastRenderedPageBreak/>
              <w:t>Location:</w:t>
            </w:r>
          </w:p>
        </w:tc>
        <w:tc>
          <w:tcPr>
            <w:tcW w:w="2030" w:type="dxa"/>
            <w:tcBorders>
              <w:bottom w:val="single" w:sz="4" w:space="0" w:color="auto"/>
            </w:tcBorders>
            <w:vAlign w:val="center"/>
          </w:tcPr>
          <w:p w14:paraId="14608821" w14:textId="77777777" w:rsidR="00F53FA5" w:rsidRPr="00F1664D" w:rsidRDefault="00F53FA5" w:rsidP="00AC0FE3">
            <w:pPr>
              <w:rPr>
                <w:rFonts w:cs="Arial"/>
              </w:rPr>
            </w:pPr>
            <w:r w:rsidRPr="00F1664D">
              <w:rPr>
                <w:rFonts w:cs="Arial"/>
              </w:rPr>
              <w:fldChar w:fldCharType="begin" w:fldLock="1">
                <w:ffData>
                  <w:name w:val="Text18"/>
                  <w:enabled/>
                  <w:calcOnExit w:val="0"/>
                  <w:textInput/>
                </w:ffData>
              </w:fldChar>
            </w:r>
            <w:bookmarkStart w:id="5" w:name="Text18"/>
            <w:r w:rsidRPr="00F1664D">
              <w:rPr>
                <w:rFonts w:cs="Arial"/>
              </w:rPr>
              <w:instrText xml:space="preserve"> FORMTEXT </w:instrText>
            </w:r>
            <w:r w:rsidRPr="00F1664D">
              <w:rPr>
                <w:rFonts w:cs="Arial"/>
              </w:rPr>
            </w:r>
            <w:r w:rsidRPr="00F1664D">
              <w:rPr>
                <w:rFonts w:cs="Arial"/>
              </w:rPr>
              <w:fldChar w:fldCharType="separate"/>
            </w:r>
            <w:bookmarkStart w:id="6" w:name="_GoBack"/>
            <w:r>
              <w:t>     </w:t>
            </w:r>
            <w:bookmarkEnd w:id="6"/>
            <w:r w:rsidRPr="00F1664D">
              <w:rPr>
                <w:rFonts w:cs="Arial"/>
              </w:rPr>
              <w:fldChar w:fldCharType="end"/>
            </w:r>
            <w:bookmarkEnd w:id="5"/>
          </w:p>
        </w:tc>
        <w:tc>
          <w:tcPr>
            <w:tcW w:w="448" w:type="dxa"/>
            <w:tcBorders>
              <w:top w:val="nil"/>
              <w:bottom w:val="nil"/>
            </w:tcBorders>
          </w:tcPr>
          <w:p w14:paraId="56530C30" w14:textId="77777777" w:rsidR="00F53FA5" w:rsidRPr="00F1664D"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4B07821A" w14:textId="77777777" w:rsidR="00F53FA5" w:rsidRPr="00F1664D" w:rsidRDefault="006B6306" w:rsidP="00B25A65">
                <w:pPr>
                  <w:jc w:val="center"/>
                  <w:rPr>
                    <w:rFonts w:cs="Arial"/>
                    <w:b/>
                  </w:rPr>
                </w:pPr>
                <w:r>
                  <w:rPr>
                    <w:b/>
                    <w:noProof/>
                  </w:rPr>
                  <w:drawing>
                    <wp:inline distT="0" distB="0" distL="0" distR="0" wp14:anchorId="43F30C6B" wp14:editId="5E3034BF">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F53FA5" w:rsidRPr="00F1664D" w14:paraId="61A9D5AD" w14:textId="77777777" w:rsidTr="0076668E">
        <w:tc>
          <w:tcPr>
            <w:tcW w:w="1273" w:type="dxa"/>
            <w:tcBorders>
              <w:top w:val="nil"/>
              <w:left w:val="nil"/>
              <w:bottom w:val="nil"/>
              <w:right w:val="nil"/>
            </w:tcBorders>
            <w:vAlign w:val="center"/>
          </w:tcPr>
          <w:p w14:paraId="5D55237A" w14:textId="77777777" w:rsidR="00F53FA5" w:rsidRPr="00F1664D" w:rsidRDefault="00F53FA5" w:rsidP="00B25A65">
            <w:pPr>
              <w:rPr>
                <w:rFonts w:cs="Arial"/>
                <w:b/>
              </w:rPr>
            </w:pPr>
          </w:p>
        </w:tc>
        <w:tc>
          <w:tcPr>
            <w:tcW w:w="2030" w:type="dxa"/>
            <w:tcBorders>
              <w:left w:val="nil"/>
              <w:right w:val="nil"/>
            </w:tcBorders>
            <w:vAlign w:val="center"/>
          </w:tcPr>
          <w:p w14:paraId="263EE0A7" w14:textId="77777777" w:rsidR="00F53FA5" w:rsidRPr="00F1664D" w:rsidRDefault="00F53FA5" w:rsidP="00B25A65">
            <w:pPr>
              <w:jc w:val="center"/>
              <w:rPr>
                <w:rFonts w:cs="Arial"/>
                <w:b/>
              </w:rPr>
            </w:pPr>
          </w:p>
        </w:tc>
        <w:tc>
          <w:tcPr>
            <w:tcW w:w="448" w:type="dxa"/>
            <w:tcBorders>
              <w:top w:val="nil"/>
              <w:left w:val="nil"/>
              <w:bottom w:val="nil"/>
            </w:tcBorders>
          </w:tcPr>
          <w:p w14:paraId="553D3EA2" w14:textId="77777777" w:rsidR="00F53FA5" w:rsidRPr="00F1664D" w:rsidRDefault="00F53FA5" w:rsidP="00B25A65">
            <w:pPr>
              <w:jc w:val="center"/>
              <w:rPr>
                <w:rFonts w:cs="Arial"/>
                <w:b/>
              </w:rPr>
            </w:pPr>
          </w:p>
        </w:tc>
        <w:tc>
          <w:tcPr>
            <w:tcW w:w="5580" w:type="dxa"/>
            <w:vMerge/>
            <w:tcBorders>
              <w:right w:val="single" w:sz="4" w:space="0" w:color="auto"/>
            </w:tcBorders>
            <w:vAlign w:val="center"/>
          </w:tcPr>
          <w:p w14:paraId="2998B022" w14:textId="77777777" w:rsidR="00F53FA5" w:rsidRPr="00F1664D" w:rsidRDefault="00F53FA5" w:rsidP="00B25A65">
            <w:pPr>
              <w:jc w:val="center"/>
              <w:rPr>
                <w:rFonts w:cs="Arial"/>
                <w:b/>
              </w:rPr>
            </w:pPr>
          </w:p>
        </w:tc>
      </w:tr>
      <w:tr w:rsidR="00F53FA5" w:rsidRPr="00F1664D" w14:paraId="7D56B2FD" w14:textId="77777777" w:rsidTr="006E052A">
        <w:trPr>
          <w:trHeight w:val="1348"/>
        </w:trPr>
        <w:tc>
          <w:tcPr>
            <w:tcW w:w="1273" w:type="dxa"/>
            <w:tcBorders>
              <w:top w:val="nil"/>
              <w:left w:val="nil"/>
              <w:bottom w:val="nil"/>
            </w:tcBorders>
            <w:vAlign w:val="center"/>
          </w:tcPr>
          <w:p w14:paraId="4B773912" w14:textId="77777777" w:rsidR="00F53FA5" w:rsidRPr="00F1664D" w:rsidRDefault="00F53FA5" w:rsidP="00B25A65">
            <w:pPr>
              <w:rPr>
                <w:rFonts w:cs="Arial"/>
                <w:b/>
              </w:rPr>
            </w:pPr>
            <w:r>
              <w:rPr>
                <w:b/>
              </w:rPr>
              <w:t>Date:</w:t>
            </w:r>
          </w:p>
        </w:tc>
        <w:tc>
          <w:tcPr>
            <w:tcW w:w="2030" w:type="dxa"/>
            <w:vAlign w:val="center"/>
          </w:tcPr>
          <w:p w14:paraId="37D53E9B" w14:textId="3C8ED996" w:rsidR="00F53FA5" w:rsidRPr="00F1664D" w:rsidRDefault="00AC0FE3" w:rsidP="00AC0FE3">
            <w:pPr>
              <w:rPr>
                <w:rFonts w:cs="Arial"/>
              </w:rPr>
            </w:pPr>
            <w:r w:rsidRPr="00F1664D">
              <w:rPr>
                <w:rFonts w:cs="Arial"/>
              </w:rPr>
              <w:fldChar w:fldCharType="begin">
                <w:ffData>
                  <w:name w:val="Text19"/>
                  <w:enabled/>
                  <w:calcOnExit w:val="0"/>
                  <w:textInput>
                    <w:type w:val="date"/>
                    <w:format w:val="dd MMMM yyyy HH:mm:ss"/>
                  </w:textInput>
                </w:ffData>
              </w:fldChar>
            </w:r>
            <w:bookmarkStart w:id="7" w:name="Text19"/>
            <w:r w:rsidRPr="00F1664D">
              <w:rPr>
                <w:rFonts w:cs="Arial"/>
              </w:rPr>
              <w:instrText xml:space="preserve"> FORMTEXT </w:instrText>
            </w:r>
            <w:r w:rsidRPr="00F1664D">
              <w:rPr>
                <w:rFonts w:cs="Arial"/>
              </w:rPr>
            </w:r>
            <w:r w:rsidRPr="00F1664D">
              <w:rPr>
                <w:rFonts w:cs="Arial"/>
              </w:rPr>
              <w:fldChar w:fldCharType="separate"/>
            </w:r>
            <w:r w:rsidR="006A777A">
              <w:rPr>
                <w:rFonts w:cs="Arial"/>
                <w:noProof/>
              </w:rPr>
              <w:t> </w:t>
            </w:r>
            <w:r w:rsidR="006A777A">
              <w:rPr>
                <w:rFonts w:cs="Arial"/>
                <w:noProof/>
              </w:rPr>
              <w:t> </w:t>
            </w:r>
            <w:r w:rsidR="006A777A">
              <w:rPr>
                <w:rFonts w:cs="Arial"/>
                <w:noProof/>
              </w:rPr>
              <w:t> </w:t>
            </w:r>
            <w:r w:rsidR="006A777A">
              <w:rPr>
                <w:rFonts w:cs="Arial"/>
                <w:noProof/>
              </w:rPr>
              <w:t> </w:t>
            </w:r>
            <w:r w:rsidR="006A777A">
              <w:rPr>
                <w:rFonts w:cs="Arial"/>
                <w:noProof/>
              </w:rPr>
              <w:t> </w:t>
            </w:r>
            <w:r w:rsidRPr="00F1664D">
              <w:rPr>
                <w:rFonts w:cs="Arial"/>
              </w:rPr>
              <w:fldChar w:fldCharType="end"/>
            </w:r>
            <w:bookmarkEnd w:id="7"/>
          </w:p>
        </w:tc>
        <w:tc>
          <w:tcPr>
            <w:tcW w:w="448" w:type="dxa"/>
            <w:tcBorders>
              <w:top w:val="nil"/>
              <w:bottom w:val="nil"/>
            </w:tcBorders>
          </w:tcPr>
          <w:p w14:paraId="0ACF9CB3" w14:textId="77777777" w:rsidR="00F53FA5" w:rsidRPr="00F1664D"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59BB3114" w14:textId="77777777" w:rsidR="00F53FA5" w:rsidRPr="00F1664D" w:rsidRDefault="00F53FA5" w:rsidP="00B25A65">
            <w:pPr>
              <w:jc w:val="right"/>
              <w:rPr>
                <w:rFonts w:cs="Arial"/>
                <w:b/>
              </w:rPr>
            </w:pPr>
          </w:p>
        </w:tc>
      </w:tr>
    </w:tbl>
    <w:p w14:paraId="021D953E" w14:textId="77777777" w:rsidR="0076549D" w:rsidRPr="00F1664D" w:rsidRDefault="0069688C" w:rsidP="00B25A65">
      <w:pPr>
        <w:jc w:val="right"/>
        <w:rPr>
          <w:rFonts w:cs="Arial"/>
        </w:rPr>
      </w:pPr>
      <w:r>
        <w:rPr>
          <w:b/>
        </w:rPr>
        <w:t>Legally binding signature / company stamp</w:t>
      </w:r>
    </w:p>
    <w:sectPr w:rsidR="0076549D" w:rsidRPr="00F1664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2BCC6" w14:textId="77777777" w:rsidR="00A60D27" w:rsidRDefault="00A60D27">
      <w:r>
        <w:separator/>
      </w:r>
    </w:p>
  </w:endnote>
  <w:endnote w:type="continuationSeparator" w:id="0">
    <w:p w14:paraId="7E9919A5" w14:textId="77777777" w:rsidR="00A60D27" w:rsidRDefault="00A60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A3D34" w14:textId="62DA0B23" w:rsidR="00E83255" w:rsidRPr="00B010C2" w:rsidRDefault="00E141F6" w:rsidP="00581C26">
    <w:pPr>
      <w:pStyle w:val="Fuzeile"/>
      <w:tabs>
        <w:tab w:val="clear" w:pos="9072"/>
        <w:tab w:val="right" w:pos="9540"/>
      </w:tabs>
      <w:rPr>
        <w:rFonts w:cs="Arial"/>
      </w:rPr>
    </w:pPr>
    <w:r>
      <w:t>12</w:t>
    </w:r>
    <w:r w:rsidR="001D489D">
      <w:t>/</w:t>
    </w:r>
    <w:r>
      <w:t>07</w:t>
    </w:r>
    <w:r w:rsidR="001D489D">
      <w:t>/2021 Annex 1 to the contract</w:t>
    </w:r>
    <w:r w:rsidR="001D489D">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1D489D">
      <w:rPr>
        <w:rStyle w:val="Seitenzah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1D489D">
      <w:rPr>
        <w:rStyle w:val="Seitenzahl"/>
      </w:rPr>
      <w:tab/>
      <w:t xml:space="preserve">     DE-UZ 217a Edition January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BE545"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sidRPr="003F6A59">
      <w:rPr>
        <w:rStyle w:val="Seitenzahl"/>
        <w:rFonts w:ascii="Arial" w:hAnsi="Arial" w:cs="Arial"/>
        <w:sz w:val="22"/>
      </w:rPr>
      <w:fldChar w:fldCharType="begin"/>
    </w:r>
    <w:r w:rsidRPr="003F6A59">
      <w:rPr>
        <w:rStyle w:val="Seitenzahl"/>
        <w:rFonts w:ascii="Arial" w:hAnsi="Arial" w:cs="Arial"/>
        <w:sz w:val="22"/>
      </w:rPr>
      <w:instrText xml:space="preserve"> PAGE </w:instrText>
    </w:r>
    <w:r w:rsidRPr="003F6A59">
      <w:rPr>
        <w:rStyle w:val="Seitenzahl"/>
        <w:rFonts w:ascii="Arial" w:hAnsi="Arial" w:cs="Arial"/>
        <w:sz w:val="22"/>
      </w:rPr>
      <w:fldChar w:fldCharType="separate"/>
    </w:r>
    <w:r>
      <w:rPr>
        <w:rStyle w:val="Seitenzahl"/>
        <w:rFonts w:ascii="Arial" w:hAnsi="Arial" w:cs="Arial"/>
        <w:sz w:val="22"/>
      </w:rPr>
      <w:t>1</w:t>
    </w:r>
    <w:r w:rsidRPr="003F6A59">
      <w:rPr>
        <w:rStyle w:val="Seitenzahl"/>
        <w:rFonts w:ascii="Arial" w:hAnsi="Arial" w:cs="Arial"/>
        <w:sz w:val="22"/>
      </w:rPr>
      <w:fldChar w:fldCharType="end"/>
    </w:r>
    <w:r>
      <w:rPr>
        <w:rStyle w:val="Seitenzahl"/>
        <w:rFonts w:ascii="Arial" w:hAnsi="Arial"/>
        <w:sz w:val="22"/>
      </w:rPr>
      <w:t>/</w:t>
    </w:r>
    <w:r w:rsidRPr="003F6A59">
      <w:rPr>
        <w:rStyle w:val="Seitenzahl"/>
        <w:rFonts w:ascii="Arial" w:hAnsi="Arial" w:cs="Arial"/>
        <w:sz w:val="22"/>
      </w:rPr>
      <w:fldChar w:fldCharType="begin"/>
    </w:r>
    <w:r w:rsidRPr="003F6A59">
      <w:rPr>
        <w:rStyle w:val="Seitenzahl"/>
        <w:rFonts w:ascii="Arial" w:hAnsi="Arial" w:cs="Arial"/>
        <w:sz w:val="22"/>
      </w:rPr>
      <w:instrText xml:space="preserve"> NUMPAGES </w:instrText>
    </w:r>
    <w:r w:rsidRPr="003F6A59">
      <w:rPr>
        <w:rStyle w:val="Seitenzahl"/>
        <w:rFonts w:ascii="Arial" w:hAnsi="Arial" w:cs="Arial"/>
        <w:sz w:val="22"/>
      </w:rPr>
      <w:fldChar w:fldCharType="separate"/>
    </w:r>
    <w:r>
      <w:rPr>
        <w:rStyle w:val="Seitenzahl"/>
        <w:rFonts w:ascii="Arial" w:hAnsi="Arial" w:cs="Arial"/>
        <w:sz w:val="22"/>
      </w:rPr>
      <w:t>5</w:t>
    </w:r>
    <w:r w:rsidRPr="003F6A59">
      <w:rPr>
        <w:rStyle w:val="Seitenzahl"/>
        <w:rFonts w:ascii="Arial" w:hAnsi="Arial" w:cs="Arial"/>
        <w:sz w:val="22"/>
      </w:rPr>
      <w:fldChar w:fldCharType="end"/>
    </w:r>
    <w:r>
      <w:rPr>
        <w:rStyle w:val="Seitenzahl"/>
        <w:rFonts w:ascii="Arial" w:hAnsi="Arial"/>
        <w:sz w:val="22"/>
      </w:rPr>
      <w:tab/>
      <w:t xml:space="preserve">     DE-UZ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C9A7B" w14:textId="77777777" w:rsidR="00A60D27" w:rsidRDefault="00A60D27">
      <w:r>
        <w:separator/>
      </w:r>
    </w:p>
  </w:footnote>
  <w:footnote w:type="continuationSeparator" w:id="0">
    <w:p w14:paraId="42F41A8D" w14:textId="77777777" w:rsidR="00A60D27" w:rsidRDefault="00A60D27">
      <w:r>
        <w:continuationSeparator/>
      </w:r>
    </w:p>
  </w:footnote>
  <w:footnote w:id="1">
    <w:p w14:paraId="771E1CF0" w14:textId="77777777" w:rsidR="00015641" w:rsidRDefault="00015641" w:rsidP="00015641">
      <w:r>
        <w:rPr>
          <w:rStyle w:val="Funotenzeichen"/>
        </w:rPr>
        <w:footnoteRef/>
      </w:r>
      <w:r>
        <w:t xml:space="preserve"> </w:t>
      </w:r>
      <w:r>
        <w:rPr>
          <w:sz w:val="18"/>
        </w:rPr>
        <w:t>The version of the list of candidates at the time of application is valid. RAL gGmbH must be notified about any changes to the list of candidates that apply at the time of application. The applicant will be informed if substances have been added that were not previously on the list.</w:t>
      </w:r>
    </w:p>
    <w:p w14:paraId="5949208B" w14:textId="77777777" w:rsidR="00015641" w:rsidRDefault="00015641" w:rsidP="00015641">
      <w:pPr>
        <w:pStyle w:val="Funotentext"/>
      </w:pPr>
    </w:p>
  </w:footnote>
  <w:footnote w:id="2">
    <w:p w14:paraId="657249FD" w14:textId="3764BAEE" w:rsidR="00015641" w:rsidRPr="006A777A" w:rsidRDefault="00015641" w:rsidP="00015641">
      <w:pPr>
        <w:pStyle w:val="Funotentext"/>
        <w:rPr>
          <w:sz w:val="16"/>
          <w:szCs w:val="16"/>
          <w:lang w:val="de-DE"/>
        </w:rPr>
      </w:pPr>
      <w:r>
        <w:rPr>
          <w:rStyle w:val="Funotenzeichen"/>
        </w:rPr>
        <w:footnoteRef/>
      </w:r>
      <w:r w:rsidRPr="006A777A">
        <w:rPr>
          <w:lang w:val="de-DE"/>
        </w:rPr>
        <w:t xml:space="preserve"> </w:t>
      </w:r>
      <w:hyperlink r:id="rId1" w:history="1">
        <w:r w:rsidR="00E141F6" w:rsidRPr="002358E7">
          <w:rPr>
            <w:rStyle w:val="Hyperlink"/>
            <w:lang w:val="de-DE"/>
          </w:rPr>
          <w:t>http://www.baua.de/nn_16812/de/Themen-von -A-Z/Gefahrstoffe/TRGS/pdf/TRGS-905.pdf</w:t>
        </w:r>
      </w:hyperlink>
    </w:p>
  </w:footnote>
  <w:footnote w:id="3">
    <w:p w14:paraId="6C8D526A" w14:textId="77777777" w:rsidR="00015641" w:rsidRDefault="00015641" w:rsidP="00015641">
      <w:pPr>
        <w:pStyle w:val="Funotentext"/>
        <w:rPr>
          <w:rFonts w:eastAsiaTheme="minorEastAsia" w:cstheme="minorBidi"/>
          <w:sz w:val="18"/>
        </w:rPr>
      </w:pPr>
      <w:r>
        <w:rPr>
          <w:rStyle w:val="Funotenzeichen"/>
        </w:rPr>
        <w:footnoteRef/>
      </w:r>
      <w:r>
        <w:t xml:space="preserve"> An exception is made for titanium dioxide because its classification is only based on the respirable dust</w:t>
      </w:r>
    </w:p>
  </w:footnote>
  <w:footnote w:id="4">
    <w:p w14:paraId="39BF2BCB" w14:textId="1FB308D2" w:rsidR="00FF47DB" w:rsidRPr="007F237E" w:rsidRDefault="00FF47DB" w:rsidP="00FF47DB">
      <w:pPr>
        <w:pStyle w:val="Funotentext"/>
      </w:pPr>
      <w:r>
        <w:rPr>
          <w:rStyle w:val="Funotenzeichen"/>
        </w:rPr>
        <w:footnoteRef/>
      </w:r>
      <w:r>
        <w:t xml:space="preserve"> </w:t>
      </w:r>
      <w:hyperlink r:id="rId2" w:history="1">
        <w:r>
          <w:rPr>
            <w:rStyle w:val="Hyperlink"/>
          </w:rPr>
          <w:t>http://bfr.ble.de/kse/faces/DBEmpfehlung.jsp</w:t>
        </w:r>
      </w:hyperlink>
    </w:p>
  </w:footnote>
  <w:footnote w:id="5">
    <w:p w14:paraId="049F8EBE" w14:textId="34F963B9" w:rsidR="0030401A" w:rsidRDefault="0030401A" w:rsidP="0030401A">
      <w:pPr>
        <w:pStyle w:val="Funotentext"/>
        <w:rPr>
          <w:rFonts w:eastAsiaTheme="minorEastAsia" w:cstheme="minorBidi"/>
          <w:sz w:val="18"/>
        </w:rPr>
      </w:pPr>
      <w:r>
        <w:rPr>
          <w:rStyle w:val="Funotenzeichen"/>
        </w:rPr>
        <w:footnoteRef/>
      </w:r>
      <w:r>
        <w:t xml:space="preserve"> oven dry pulp: oven dry mass of a sample of the pulp after drying to constant mass under defined conditions (105 °C ± 2 °C)</w:t>
      </w:r>
    </w:p>
  </w:footnote>
  <w:footnote w:id="6">
    <w:p w14:paraId="7833C797" w14:textId="3266168A" w:rsidR="006558AF" w:rsidRDefault="006558AF" w:rsidP="006558AF">
      <w:pPr>
        <w:pStyle w:val="Funotentext"/>
        <w:rPr>
          <w:rFonts w:eastAsiaTheme="minorEastAsia" w:cstheme="minorBidi"/>
          <w:sz w:val="18"/>
        </w:rPr>
      </w:pPr>
      <w:r>
        <w:rPr>
          <w:rStyle w:val="Funotenzeichen"/>
        </w:rPr>
        <w:footnoteRef/>
      </w:r>
      <w:r>
        <w:t xml:space="preserve"> </w:t>
      </w:r>
      <w:hyperlink r:id="rId3" w:history="1">
        <w:r>
          <w:rPr>
            <w:rStyle w:val="Hyperlink"/>
          </w:rPr>
          <w:t>https://www.baua.de/DE/Angebote/Rechtstexte-und-Technische-Regeln/Regelwerk/TRGS/TRGS-614.html</w:t>
        </w:r>
      </w:hyperlink>
      <w:r>
        <w:rPr>
          <w:rStyle w:val="Hyperlink"/>
        </w:rPr>
        <w:t xml:space="preserve"> </w:t>
      </w:r>
    </w:p>
  </w:footnote>
  <w:footnote w:id="7">
    <w:p w14:paraId="757CF160" w14:textId="05C532C5" w:rsidR="006558AF" w:rsidRDefault="006558AF" w:rsidP="006558AF">
      <w:pPr>
        <w:pStyle w:val="Funotentext"/>
        <w:rPr>
          <w:rFonts w:eastAsiaTheme="minorEastAsia" w:cstheme="minorBidi"/>
          <w:sz w:val="18"/>
        </w:rPr>
      </w:pPr>
      <w:r>
        <w:rPr>
          <w:rStyle w:val="Funotenzeichen"/>
        </w:rPr>
        <w:footnoteRef/>
      </w:r>
      <w:r>
        <w:t xml:space="preserve"> The following certification systems are considered suitable for renewable raw materials: RSPO (Roundtable on Sustainable Palmoil), ISCC+, ISCC EU (International Sustainable &amp; Carbon Certification) or RSB (Roundtable on Sustainable Biomaterial), Roundtable Responsible Soy (RTRS) und ProTerra (ProTerra Foundation) or a comparable certification system whose scope and requirement standards are equivalent to one of the named certification systems.</w:t>
      </w:r>
    </w:p>
  </w:footnote>
  <w:footnote w:id="8">
    <w:p w14:paraId="609C0F2A" w14:textId="117B7318" w:rsidR="00AE0CA3" w:rsidRDefault="00AE0CA3" w:rsidP="00AE0CA3">
      <w:pPr>
        <w:pStyle w:val="Funotentext"/>
        <w:rPr>
          <w:rFonts w:ascii="Arial" w:hAnsi="Arial" w:cs="Arial"/>
          <w:szCs w:val="18"/>
        </w:rPr>
      </w:pPr>
      <w:r>
        <w:rPr>
          <w:rStyle w:val="Funotenzeichen"/>
          <w:rFonts w:ascii="Arial" w:hAnsi="Arial" w:cs="Arial"/>
          <w:szCs w:val="18"/>
        </w:rPr>
        <w:footnoteRef/>
      </w:r>
      <w:r>
        <w:t xml:space="preserve"> BREF (Best Available Techniques Reference Document) full version and BAT conclusions in </w:t>
      </w:r>
      <w:bookmarkStart w:id="4" w:name="_Hlk50973061"/>
      <w:r>
        <w:t xml:space="preserve">German and English at </w:t>
      </w:r>
      <w:bookmarkEnd w:id="4"/>
      <w:r w:rsidR="0077425D">
        <w:rPr>
          <w:rStyle w:val="Hyperlink"/>
        </w:rPr>
        <w:fldChar w:fldCharType="begin"/>
      </w:r>
      <w:r w:rsidR="0077425D">
        <w:rPr>
          <w:rStyle w:val="Hyperlink"/>
        </w:rPr>
        <w:instrText xml:space="preserve"> HYPERLINK "https://www.umweltbundesamt.de/themen/wirtschaft-konsum/beste-verfuegbare-techniken/sevilla-prozess/bvt-merkblaetter-durchfuehrungsbeschluesse" </w:instrText>
      </w:r>
      <w:r w:rsidR="0077425D">
        <w:rPr>
          <w:rStyle w:val="Hyperlink"/>
        </w:rPr>
        <w:fldChar w:fldCharType="separate"/>
      </w:r>
      <w:r>
        <w:rPr>
          <w:rStyle w:val="Hyperlink"/>
        </w:rPr>
        <w:t>https://www.umweltbundesamt.de/themen/wirtschaft-konsum/beste-verfuegbare-techniken/sevilla-prozess/bvt-merkblaetter-durchfuehrungsbeschluesse</w:t>
      </w:r>
      <w:r w:rsidR="0077425D">
        <w:rPr>
          <w:rStyle w:val="Hyperlink"/>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A9ABC" w14:textId="77777777" w:rsidR="00E83255" w:rsidRDefault="00C64EBC">
    <w:pPr>
      <w:pStyle w:val="Kopfzeile"/>
    </w:pPr>
    <w:r>
      <w:rPr>
        <w:noProof/>
      </w:rPr>
      <w:drawing>
        <wp:anchor distT="0" distB="0" distL="114300" distR="114300" simplePos="0" relativeHeight="251660800" behindDoc="0" locked="0" layoutInCell="1" allowOverlap="1" wp14:anchorId="063E70B5" wp14:editId="6109A2B0">
          <wp:simplePos x="0" y="0"/>
          <wp:positionH relativeFrom="column">
            <wp:posOffset>4869180</wp:posOffset>
          </wp:positionH>
          <wp:positionV relativeFrom="paragraph">
            <wp:posOffset>-622300</wp:posOffset>
          </wp:positionV>
          <wp:extent cx="1071880" cy="697865"/>
          <wp:effectExtent l="0" t="0" r="0" b="698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1071880" cy="69786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173E5" w14:textId="77777777" w:rsidR="00E83255" w:rsidRDefault="00E83255">
    <w:pPr>
      <w:pStyle w:val="Kopfzeile"/>
    </w:pPr>
    <w:r>
      <w:rPr>
        <w:noProof/>
      </w:rPr>
      <w:drawing>
        <wp:anchor distT="0" distB="0" distL="114300" distR="114300" simplePos="0" relativeHeight="251659776" behindDoc="1" locked="0" layoutInCell="1" allowOverlap="0" wp14:anchorId="70B22A52" wp14:editId="7E0E77D5">
          <wp:simplePos x="0" y="0"/>
          <wp:positionH relativeFrom="column">
            <wp:posOffset>5029200</wp:posOffset>
          </wp:positionH>
          <wp:positionV relativeFrom="paragraph">
            <wp:posOffset>-473075</wp:posOffset>
          </wp:positionV>
          <wp:extent cx="892810" cy="627380"/>
          <wp:effectExtent l="0" t="0" r="2540" b="1270"/>
          <wp:wrapSquare wrapText="bothSides"/>
          <wp:docPr id="9"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5584"/>
    <w:multiLevelType w:val="hybridMultilevel"/>
    <w:tmpl w:val="9DBCB798"/>
    <w:lvl w:ilvl="0" w:tplc="B49AF5A0">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5FD6"/>
    <w:multiLevelType w:val="hybridMultilevel"/>
    <w:tmpl w:val="19123D72"/>
    <w:lvl w:ilvl="0" w:tplc="F43ADA66">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052157"/>
    <w:multiLevelType w:val="multilevel"/>
    <w:tmpl w:val="1040D81C"/>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134"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6"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7D4942"/>
    <w:multiLevelType w:val="hybridMultilevel"/>
    <w:tmpl w:val="8FEA8A94"/>
    <w:lvl w:ilvl="0" w:tplc="9E6AAF16">
      <w:start w:val="3"/>
      <w:numFmt w:val="bullet"/>
      <w:lvlText w:val="-"/>
      <w:lvlJc w:val="left"/>
      <w:pPr>
        <w:ind w:left="373" w:hanging="360"/>
      </w:pPr>
      <w:rPr>
        <w:rFonts w:ascii="Verdana" w:eastAsia="Times New Roman" w:hAnsi="Verdana" w:cs="Aria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10"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EFA0565"/>
    <w:multiLevelType w:val="hybridMultilevel"/>
    <w:tmpl w:val="F5F8C4A0"/>
    <w:lvl w:ilvl="0" w:tplc="5C9897D2">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4D0BC9"/>
    <w:multiLevelType w:val="hybridMultilevel"/>
    <w:tmpl w:val="4010F6F0"/>
    <w:lvl w:ilvl="0" w:tplc="F7CE3394">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0D3280"/>
    <w:multiLevelType w:val="hybridMultilevel"/>
    <w:tmpl w:val="2A7E9EDC"/>
    <w:lvl w:ilvl="0" w:tplc="9E6E9254">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826404F"/>
    <w:multiLevelType w:val="hybridMultilevel"/>
    <w:tmpl w:val="40045AC0"/>
    <w:lvl w:ilvl="0" w:tplc="277C2EAE">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B68547F"/>
    <w:multiLevelType w:val="hybridMultilevel"/>
    <w:tmpl w:val="0FC440D8"/>
    <w:lvl w:ilvl="0" w:tplc="6CFC9F92">
      <w:start w:val="3"/>
      <w:numFmt w:val="bullet"/>
      <w:lvlText w:val="-"/>
      <w:lvlJc w:val="left"/>
      <w:pPr>
        <w:ind w:left="733" w:hanging="360"/>
      </w:pPr>
      <w:rPr>
        <w:rFonts w:ascii="Verdana" w:eastAsia="Times New Roman" w:hAnsi="Verdana"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abstractNum w:abstractNumId="24"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4E6A25"/>
    <w:multiLevelType w:val="hybridMultilevel"/>
    <w:tmpl w:val="2ACA0DB2"/>
    <w:lvl w:ilvl="0" w:tplc="E6E0D074">
      <w:start w:val="1"/>
      <w:numFmt w:val="bullet"/>
      <w:pStyle w:val="AufzhlungPunkt1"/>
      <w:lvlText w:val=""/>
      <w:lvlJc w:val="left"/>
      <w:pPr>
        <w:ind w:left="644" w:hanging="360"/>
      </w:pPr>
      <w:rPr>
        <w:rFonts w:ascii="Symbol" w:hAnsi="Symbol" w:hint="default"/>
      </w:rPr>
    </w:lvl>
    <w:lvl w:ilvl="1" w:tplc="04070001">
      <w:start w:val="1"/>
      <w:numFmt w:val="bullet"/>
      <w:lvlText w:val=""/>
      <w:lvlJc w:val="left"/>
      <w:pPr>
        <w:ind w:left="1364" w:hanging="360"/>
      </w:pPr>
      <w:rPr>
        <w:rFonts w:ascii="Symbol" w:hAnsi="Symbol"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9"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4"/>
  </w:num>
  <w:num w:numId="2">
    <w:abstractNumId w:val="7"/>
  </w:num>
  <w:num w:numId="3">
    <w:abstractNumId w:val="27"/>
  </w:num>
  <w:num w:numId="4">
    <w:abstractNumId w:val="33"/>
  </w:num>
  <w:num w:numId="5">
    <w:abstractNumId w:val="6"/>
  </w:num>
  <w:num w:numId="6">
    <w:abstractNumId w:val="31"/>
  </w:num>
  <w:num w:numId="7">
    <w:abstractNumId w:val="32"/>
  </w:num>
  <w:num w:numId="8">
    <w:abstractNumId w:val="16"/>
  </w:num>
  <w:num w:numId="9">
    <w:abstractNumId w:val="19"/>
  </w:num>
  <w:num w:numId="10">
    <w:abstractNumId w:val="10"/>
  </w:num>
  <w:num w:numId="11">
    <w:abstractNumId w:val="29"/>
  </w:num>
  <w:num w:numId="12">
    <w:abstractNumId w:val="12"/>
  </w:num>
  <w:num w:numId="13">
    <w:abstractNumId w:val="8"/>
  </w:num>
  <w:num w:numId="14">
    <w:abstractNumId w:val="2"/>
  </w:num>
  <w:num w:numId="15">
    <w:abstractNumId w:val="14"/>
  </w:num>
  <w:num w:numId="16">
    <w:abstractNumId w:val="11"/>
  </w:num>
  <w:num w:numId="17">
    <w:abstractNumId w:val="17"/>
  </w:num>
  <w:num w:numId="18">
    <w:abstractNumId w:val="15"/>
  </w:num>
  <w:num w:numId="19">
    <w:abstractNumId w:val="3"/>
  </w:num>
  <w:num w:numId="20">
    <w:abstractNumId w:val="13"/>
  </w:num>
  <w:num w:numId="21">
    <w:abstractNumId w:val="30"/>
  </w:num>
  <w:num w:numId="22">
    <w:abstractNumId w:val="0"/>
  </w:num>
  <w:num w:numId="23">
    <w:abstractNumId w:val="20"/>
  </w:num>
  <w:num w:numId="24">
    <w:abstractNumId w:val="22"/>
  </w:num>
  <w:num w:numId="25">
    <w:abstractNumId w:val="18"/>
  </w:num>
  <w:num w:numId="26">
    <w:abstractNumId w:val="21"/>
  </w:num>
  <w:num w:numId="27">
    <w:abstractNumId w:val="4"/>
  </w:num>
  <w:num w:numId="28">
    <w:abstractNumId w:val="9"/>
  </w:num>
  <w:num w:numId="29">
    <w:abstractNumId w:val="23"/>
  </w:num>
  <w:num w:numId="30">
    <w:abstractNumId w:val="25"/>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AspH7Isiq8YhtGCPztW2lo+6i3tIL9w2ukK6oqXNlK0O8cRr6ZCs8l6BR0PcCznISVAYDF54LQhtfuV/1WmHhg==" w:salt="B/MnHpx5nKLDA6TGacpohA=="/>
  <w:defaultTabStop w:val="708"/>
  <w:autoHyphenation/>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0CA7"/>
    <w:rsid w:val="000018DB"/>
    <w:rsid w:val="000019F6"/>
    <w:rsid w:val="00002AA5"/>
    <w:rsid w:val="000055D8"/>
    <w:rsid w:val="00005A22"/>
    <w:rsid w:val="00006D5E"/>
    <w:rsid w:val="00010200"/>
    <w:rsid w:val="00010519"/>
    <w:rsid w:val="000123D7"/>
    <w:rsid w:val="00012D6E"/>
    <w:rsid w:val="00014AA7"/>
    <w:rsid w:val="00015641"/>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47FD"/>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224B"/>
    <w:rsid w:val="0008333B"/>
    <w:rsid w:val="00083395"/>
    <w:rsid w:val="000838DE"/>
    <w:rsid w:val="00084DD7"/>
    <w:rsid w:val="0008554C"/>
    <w:rsid w:val="00085F58"/>
    <w:rsid w:val="00086844"/>
    <w:rsid w:val="00087088"/>
    <w:rsid w:val="0008747A"/>
    <w:rsid w:val="00087954"/>
    <w:rsid w:val="00090161"/>
    <w:rsid w:val="00090D8E"/>
    <w:rsid w:val="000915D8"/>
    <w:rsid w:val="00091FF3"/>
    <w:rsid w:val="00093447"/>
    <w:rsid w:val="00094261"/>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81D"/>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6A0"/>
    <w:rsid w:val="001139CC"/>
    <w:rsid w:val="00113A60"/>
    <w:rsid w:val="00114B8B"/>
    <w:rsid w:val="00114F76"/>
    <w:rsid w:val="00116A34"/>
    <w:rsid w:val="00117649"/>
    <w:rsid w:val="00120964"/>
    <w:rsid w:val="00120C3E"/>
    <w:rsid w:val="001227E0"/>
    <w:rsid w:val="00122BFF"/>
    <w:rsid w:val="00124F10"/>
    <w:rsid w:val="00125492"/>
    <w:rsid w:val="0012746C"/>
    <w:rsid w:val="0012788D"/>
    <w:rsid w:val="00127F26"/>
    <w:rsid w:val="00130229"/>
    <w:rsid w:val="00130685"/>
    <w:rsid w:val="00130D13"/>
    <w:rsid w:val="00131B3A"/>
    <w:rsid w:val="001355A3"/>
    <w:rsid w:val="00136F66"/>
    <w:rsid w:val="00140D4B"/>
    <w:rsid w:val="00142DF7"/>
    <w:rsid w:val="0014398E"/>
    <w:rsid w:val="00143A49"/>
    <w:rsid w:val="0014543D"/>
    <w:rsid w:val="00145FE0"/>
    <w:rsid w:val="00146765"/>
    <w:rsid w:val="00146A06"/>
    <w:rsid w:val="00151209"/>
    <w:rsid w:val="00155FB0"/>
    <w:rsid w:val="00156505"/>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233"/>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00B0"/>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489D"/>
    <w:rsid w:val="001D52FC"/>
    <w:rsid w:val="001D568B"/>
    <w:rsid w:val="001D73C7"/>
    <w:rsid w:val="001D7BC3"/>
    <w:rsid w:val="001E1192"/>
    <w:rsid w:val="001E1D7F"/>
    <w:rsid w:val="001E2E1E"/>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32"/>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3D5D"/>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1734"/>
    <w:rsid w:val="00273C85"/>
    <w:rsid w:val="002750F1"/>
    <w:rsid w:val="002765B6"/>
    <w:rsid w:val="00276D76"/>
    <w:rsid w:val="0027787D"/>
    <w:rsid w:val="00280F17"/>
    <w:rsid w:val="00282D0D"/>
    <w:rsid w:val="00283595"/>
    <w:rsid w:val="0029216A"/>
    <w:rsid w:val="002934CE"/>
    <w:rsid w:val="00293CA8"/>
    <w:rsid w:val="00296107"/>
    <w:rsid w:val="002969AE"/>
    <w:rsid w:val="002969F2"/>
    <w:rsid w:val="00297060"/>
    <w:rsid w:val="002A0537"/>
    <w:rsid w:val="002A061F"/>
    <w:rsid w:val="002A15AF"/>
    <w:rsid w:val="002A161E"/>
    <w:rsid w:val="002A2E30"/>
    <w:rsid w:val="002A32BC"/>
    <w:rsid w:val="002A41A5"/>
    <w:rsid w:val="002A4320"/>
    <w:rsid w:val="002A4A05"/>
    <w:rsid w:val="002A5267"/>
    <w:rsid w:val="002A5585"/>
    <w:rsid w:val="002A5679"/>
    <w:rsid w:val="002A59F3"/>
    <w:rsid w:val="002A5A50"/>
    <w:rsid w:val="002A6E9C"/>
    <w:rsid w:val="002A7292"/>
    <w:rsid w:val="002B0E57"/>
    <w:rsid w:val="002B18CA"/>
    <w:rsid w:val="002B1F85"/>
    <w:rsid w:val="002B36E5"/>
    <w:rsid w:val="002B3700"/>
    <w:rsid w:val="002B5FDE"/>
    <w:rsid w:val="002B7DAF"/>
    <w:rsid w:val="002C01FE"/>
    <w:rsid w:val="002C3E40"/>
    <w:rsid w:val="002C3F22"/>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2EF9"/>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01A"/>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1989"/>
    <w:rsid w:val="00324175"/>
    <w:rsid w:val="003250B3"/>
    <w:rsid w:val="0032571C"/>
    <w:rsid w:val="00326A33"/>
    <w:rsid w:val="00327223"/>
    <w:rsid w:val="003315CB"/>
    <w:rsid w:val="00331A2B"/>
    <w:rsid w:val="0033289A"/>
    <w:rsid w:val="00334082"/>
    <w:rsid w:val="003344DA"/>
    <w:rsid w:val="0033564C"/>
    <w:rsid w:val="0033774E"/>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2934"/>
    <w:rsid w:val="003B3EE0"/>
    <w:rsid w:val="003B4940"/>
    <w:rsid w:val="003B6005"/>
    <w:rsid w:val="003B7421"/>
    <w:rsid w:val="003B7FB9"/>
    <w:rsid w:val="003C0507"/>
    <w:rsid w:val="003C0967"/>
    <w:rsid w:val="003C190B"/>
    <w:rsid w:val="003C42AD"/>
    <w:rsid w:val="003C4396"/>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0FE8"/>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69"/>
    <w:rsid w:val="004653CD"/>
    <w:rsid w:val="004676F9"/>
    <w:rsid w:val="004679DD"/>
    <w:rsid w:val="0047039A"/>
    <w:rsid w:val="004703C2"/>
    <w:rsid w:val="0047091A"/>
    <w:rsid w:val="00471137"/>
    <w:rsid w:val="00471235"/>
    <w:rsid w:val="0047204A"/>
    <w:rsid w:val="00472A5B"/>
    <w:rsid w:val="00473BB0"/>
    <w:rsid w:val="00474775"/>
    <w:rsid w:val="004751AD"/>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0B3"/>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6FB1"/>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AF4"/>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37C"/>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3E20"/>
    <w:rsid w:val="00614288"/>
    <w:rsid w:val="006145D8"/>
    <w:rsid w:val="00615134"/>
    <w:rsid w:val="00615D40"/>
    <w:rsid w:val="0061600F"/>
    <w:rsid w:val="00616033"/>
    <w:rsid w:val="00616D20"/>
    <w:rsid w:val="00617088"/>
    <w:rsid w:val="00617270"/>
    <w:rsid w:val="0061782A"/>
    <w:rsid w:val="00617886"/>
    <w:rsid w:val="00620D13"/>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58AF"/>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E19"/>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29B1"/>
    <w:rsid w:val="006A321F"/>
    <w:rsid w:val="006A3607"/>
    <w:rsid w:val="006A52D9"/>
    <w:rsid w:val="006A6400"/>
    <w:rsid w:val="006A64CE"/>
    <w:rsid w:val="006A6530"/>
    <w:rsid w:val="006A721A"/>
    <w:rsid w:val="006A7562"/>
    <w:rsid w:val="006A777A"/>
    <w:rsid w:val="006A7E5B"/>
    <w:rsid w:val="006B0229"/>
    <w:rsid w:val="006B0AAC"/>
    <w:rsid w:val="006B206F"/>
    <w:rsid w:val="006B2155"/>
    <w:rsid w:val="006B237C"/>
    <w:rsid w:val="006B2779"/>
    <w:rsid w:val="006B2B09"/>
    <w:rsid w:val="006B3823"/>
    <w:rsid w:val="006B3AE4"/>
    <w:rsid w:val="006B6306"/>
    <w:rsid w:val="006B64D9"/>
    <w:rsid w:val="006C2CF2"/>
    <w:rsid w:val="006C4432"/>
    <w:rsid w:val="006C4A03"/>
    <w:rsid w:val="006C5993"/>
    <w:rsid w:val="006C61DB"/>
    <w:rsid w:val="006C632A"/>
    <w:rsid w:val="006C694A"/>
    <w:rsid w:val="006C6ABD"/>
    <w:rsid w:val="006C6EC8"/>
    <w:rsid w:val="006C702F"/>
    <w:rsid w:val="006D0478"/>
    <w:rsid w:val="006D0FBC"/>
    <w:rsid w:val="006D11F3"/>
    <w:rsid w:val="006D41E4"/>
    <w:rsid w:val="006D4A12"/>
    <w:rsid w:val="006D56A8"/>
    <w:rsid w:val="006D598B"/>
    <w:rsid w:val="006D5B11"/>
    <w:rsid w:val="006D666F"/>
    <w:rsid w:val="006D6A9D"/>
    <w:rsid w:val="006D7CD0"/>
    <w:rsid w:val="006E00F9"/>
    <w:rsid w:val="006E02EB"/>
    <w:rsid w:val="006E052A"/>
    <w:rsid w:val="006E1E39"/>
    <w:rsid w:val="006E3730"/>
    <w:rsid w:val="006E477F"/>
    <w:rsid w:val="006E5000"/>
    <w:rsid w:val="006E6E7F"/>
    <w:rsid w:val="006E7D67"/>
    <w:rsid w:val="006F220C"/>
    <w:rsid w:val="006F60D7"/>
    <w:rsid w:val="006F7E98"/>
    <w:rsid w:val="0070034F"/>
    <w:rsid w:val="00703364"/>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53C"/>
    <w:rsid w:val="00731E02"/>
    <w:rsid w:val="00732C21"/>
    <w:rsid w:val="007335AF"/>
    <w:rsid w:val="00734033"/>
    <w:rsid w:val="00736CAF"/>
    <w:rsid w:val="00741004"/>
    <w:rsid w:val="00743245"/>
    <w:rsid w:val="00750410"/>
    <w:rsid w:val="007532D9"/>
    <w:rsid w:val="0075356F"/>
    <w:rsid w:val="00755EBA"/>
    <w:rsid w:val="00757E8C"/>
    <w:rsid w:val="007625F5"/>
    <w:rsid w:val="0076549D"/>
    <w:rsid w:val="0076668E"/>
    <w:rsid w:val="00767336"/>
    <w:rsid w:val="00767DCB"/>
    <w:rsid w:val="00772CBD"/>
    <w:rsid w:val="0077425D"/>
    <w:rsid w:val="00774476"/>
    <w:rsid w:val="00774626"/>
    <w:rsid w:val="00774783"/>
    <w:rsid w:val="00776553"/>
    <w:rsid w:val="00776993"/>
    <w:rsid w:val="00777CC8"/>
    <w:rsid w:val="00781898"/>
    <w:rsid w:val="00782D88"/>
    <w:rsid w:val="00784007"/>
    <w:rsid w:val="007842D0"/>
    <w:rsid w:val="007854B1"/>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200F"/>
    <w:rsid w:val="007A3E27"/>
    <w:rsid w:val="007A5460"/>
    <w:rsid w:val="007A5CC2"/>
    <w:rsid w:val="007A5DCD"/>
    <w:rsid w:val="007A77CC"/>
    <w:rsid w:val="007B0378"/>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D7B39"/>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29A9"/>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5891"/>
    <w:rsid w:val="0085614B"/>
    <w:rsid w:val="00856650"/>
    <w:rsid w:val="0085727D"/>
    <w:rsid w:val="00862D52"/>
    <w:rsid w:val="008630CF"/>
    <w:rsid w:val="00863553"/>
    <w:rsid w:val="00865494"/>
    <w:rsid w:val="00867B03"/>
    <w:rsid w:val="00872018"/>
    <w:rsid w:val="0087347B"/>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32DF"/>
    <w:rsid w:val="008A3AE0"/>
    <w:rsid w:val="008A4B63"/>
    <w:rsid w:val="008A4FD7"/>
    <w:rsid w:val="008A52DA"/>
    <w:rsid w:val="008A6969"/>
    <w:rsid w:val="008A6E74"/>
    <w:rsid w:val="008A7A59"/>
    <w:rsid w:val="008B05E7"/>
    <w:rsid w:val="008B0EAA"/>
    <w:rsid w:val="008B1B86"/>
    <w:rsid w:val="008B2AD1"/>
    <w:rsid w:val="008B3AD8"/>
    <w:rsid w:val="008B45A6"/>
    <w:rsid w:val="008B4CFE"/>
    <w:rsid w:val="008B51FA"/>
    <w:rsid w:val="008B59B7"/>
    <w:rsid w:val="008B5D6F"/>
    <w:rsid w:val="008B5DA5"/>
    <w:rsid w:val="008B7ED8"/>
    <w:rsid w:val="008C0001"/>
    <w:rsid w:val="008C05A7"/>
    <w:rsid w:val="008C2428"/>
    <w:rsid w:val="008C2486"/>
    <w:rsid w:val="008C28B8"/>
    <w:rsid w:val="008C54F5"/>
    <w:rsid w:val="008C6F9E"/>
    <w:rsid w:val="008D1F5A"/>
    <w:rsid w:val="008D27E6"/>
    <w:rsid w:val="008D2BDB"/>
    <w:rsid w:val="008D6B14"/>
    <w:rsid w:val="008D74D6"/>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23B"/>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00C1"/>
    <w:rsid w:val="00951DB7"/>
    <w:rsid w:val="009600EC"/>
    <w:rsid w:val="0096142E"/>
    <w:rsid w:val="0096192D"/>
    <w:rsid w:val="009637E7"/>
    <w:rsid w:val="00964144"/>
    <w:rsid w:val="0096448D"/>
    <w:rsid w:val="00964D76"/>
    <w:rsid w:val="00965756"/>
    <w:rsid w:val="00966606"/>
    <w:rsid w:val="00966A20"/>
    <w:rsid w:val="0097002A"/>
    <w:rsid w:val="00972861"/>
    <w:rsid w:val="0097370A"/>
    <w:rsid w:val="00973F16"/>
    <w:rsid w:val="009769EA"/>
    <w:rsid w:val="00976E16"/>
    <w:rsid w:val="0097773C"/>
    <w:rsid w:val="0098027F"/>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2CE8"/>
    <w:rsid w:val="009A2FA7"/>
    <w:rsid w:val="009A3E94"/>
    <w:rsid w:val="009A459E"/>
    <w:rsid w:val="009A4E56"/>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0BE"/>
    <w:rsid w:val="009C7F4F"/>
    <w:rsid w:val="009D0381"/>
    <w:rsid w:val="009D063E"/>
    <w:rsid w:val="009D0B5B"/>
    <w:rsid w:val="009D3A44"/>
    <w:rsid w:val="009D5696"/>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78"/>
    <w:rsid w:val="00A30BB3"/>
    <w:rsid w:val="00A3195B"/>
    <w:rsid w:val="00A329FD"/>
    <w:rsid w:val="00A3344F"/>
    <w:rsid w:val="00A34120"/>
    <w:rsid w:val="00A3518C"/>
    <w:rsid w:val="00A35498"/>
    <w:rsid w:val="00A3605F"/>
    <w:rsid w:val="00A37EB9"/>
    <w:rsid w:val="00A41278"/>
    <w:rsid w:val="00A440EB"/>
    <w:rsid w:val="00A44766"/>
    <w:rsid w:val="00A46591"/>
    <w:rsid w:val="00A468BC"/>
    <w:rsid w:val="00A478C5"/>
    <w:rsid w:val="00A50C58"/>
    <w:rsid w:val="00A51137"/>
    <w:rsid w:val="00A51878"/>
    <w:rsid w:val="00A52101"/>
    <w:rsid w:val="00A52802"/>
    <w:rsid w:val="00A53BE4"/>
    <w:rsid w:val="00A54222"/>
    <w:rsid w:val="00A54D05"/>
    <w:rsid w:val="00A55BE3"/>
    <w:rsid w:val="00A60D27"/>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2DE"/>
    <w:rsid w:val="00A83806"/>
    <w:rsid w:val="00A83CEA"/>
    <w:rsid w:val="00A846C7"/>
    <w:rsid w:val="00A84ADB"/>
    <w:rsid w:val="00A84D0C"/>
    <w:rsid w:val="00A856C6"/>
    <w:rsid w:val="00A861B5"/>
    <w:rsid w:val="00A87391"/>
    <w:rsid w:val="00A929FC"/>
    <w:rsid w:val="00A9324E"/>
    <w:rsid w:val="00A954C5"/>
    <w:rsid w:val="00A95524"/>
    <w:rsid w:val="00A961C6"/>
    <w:rsid w:val="00A96EA4"/>
    <w:rsid w:val="00A970EB"/>
    <w:rsid w:val="00AA1258"/>
    <w:rsid w:val="00AA1459"/>
    <w:rsid w:val="00AA2365"/>
    <w:rsid w:val="00AA3EA4"/>
    <w:rsid w:val="00AA3F13"/>
    <w:rsid w:val="00AB026C"/>
    <w:rsid w:val="00AB078E"/>
    <w:rsid w:val="00AB0C0D"/>
    <w:rsid w:val="00AB20D6"/>
    <w:rsid w:val="00AB25A9"/>
    <w:rsid w:val="00AB30E5"/>
    <w:rsid w:val="00AB33A7"/>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0CA3"/>
    <w:rsid w:val="00AE114B"/>
    <w:rsid w:val="00AE11A5"/>
    <w:rsid w:val="00AE2D8B"/>
    <w:rsid w:val="00AE4DD5"/>
    <w:rsid w:val="00AF11AF"/>
    <w:rsid w:val="00AF243A"/>
    <w:rsid w:val="00AF352F"/>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07A76"/>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D6C"/>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7486"/>
    <w:rsid w:val="00BB047B"/>
    <w:rsid w:val="00BB0BA3"/>
    <w:rsid w:val="00BB0F60"/>
    <w:rsid w:val="00BB2B7D"/>
    <w:rsid w:val="00BB3C08"/>
    <w:rsid w:val="00BB4CF4"/>
    <w:rsid w:val="00BB4D4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0BDC"/>
    <w:rsid w:val="00C02360"/>
    <w:rsid w:val="00C027EC"/>
    <w:rsid w:val="00C03206"/>
    <w:rsid w:val="00C03679"/>
    <w:rsid w:val="00C05E81"/>
    <w:rsid w:val="00C06222"/>
    <w:rsid w:val="00C0649A"/>
    <w:rsid w:val="00C06B44"/>
    <w:rsid w:val="00C104E0"/>
    <w:rsid w:val="00C10906"/>
    <w:rsid w:val="00C12143"/>
    <w:rsid w:val="00C12978"/>
    <w:rsid w:val="00C12B08"/>
    <w:rsid w:val="00C135BD"/>
    <w:rsid w:val="00C14326"/>
    <w:rsid w:val="00C15D5B"/>
    <w:rsid w:val="00C16236"/>
    <w:rsid w:val="00C16422"/>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5DEF"/>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5311"/>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48D0"/>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BF9"/>
    <w:rsid w:val="00CD5402"/>
    <w:rsid w:val="00CD55CE"/>
    <w:rsid w:val="00CD791F"/>
    <w:rsid w:val="00CD7AFD"/>
    <w:rsid w:val="00CE01CD"/>
    <w:rsid w:val="00CE0D2A"/>
    <w:rsid w:val="00CE1B20"/>
    <w:rsid w:val="00CE1E64"/>
    <w:rsid w:val="00CE3A1A"/>
    <w:rsid w:val="00CE5106"/>
    <w:rsid w:val="00CE6992"/>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DDE"/>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1E20"/>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41F6"/>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0826"/>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3E38"/>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14CE"/>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1C6"/>
    <w:rsid w:val="00F017BB"/>
    <w:rsid w:val="00F01C34"/>
    <w:rsid w:val="00F01D1E"/>
    <w:rsid w:val="00F026CE"/>
    <w:rsid w:val="00F03BDD"/>
    <w:rsid w:val="00F05BA8"/>
    <w:rsid w:val="00F10595"/>
    <w:rsid w:val="00F11F6C"/>
    <w:rsid w:val="00F12083"/>
    <w:rsid w:val="00F12787"/>
    <w:rsid w:val="00F12E9A"/>
    <w:rsid w:val="00F16165"/>
    <w:rsid w:val="00F1664D"/>
    <w:rsid w:val="00F16772"/>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527C"/>
    <w:rsid w:val="00F86A41"/>
    <w:rsid w:val="00F86ADE"/>
    <w:rsid w:val="00F87673"/>
    <w:rsid w:val="00F94113"/>
    <w:rsid w:val="00F94CAF"/>
    <w:rsid w:val="00F95328"/>
    <w:rsid w:val="00F97C1B"/>
    <w:rsid w:val="00FA5540"/>
    <w:rsid w:val="00FA58ED"/>
    <w:rsid w:val="00FA7380"/>
    <w:rsid w:val="00FA7434"/>
    <w:rsid w:val="00FB00D7"/>
    <w:rsid w:val="00FB19EF"/>
    <w:rsid w:val="00FB220D"/>
    <w:rsid w:val="00FB2B62"/>
    <w:rsid w:val="00FB382F"/>
    <w:rsid w:val="00FB3FDC"/>
    <w:rsid w:val="00FB63B7"/>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43BC"/>
    <w:rsid w:val="00FE51C8"/>
    <w:rsid w:val="00FE542D"/>
    <w:rsid w:val="00FE7534"/>
    <w:rsid w:val="00FE78C1"/>
    <w:rsid w:val="00FF0309"/>
    <w:rsid w:val="00FF0C94"/>
    <w:rsid w:val="00FF10D2"/>
    <w:rsid w:val="00FF158B"/>
    <w:rsid w:val="00FF3BA2"/>
    <w:rsid w:val="00FF47DB"/>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03A8ACE"/>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9A2FA7"/>
    <w:pPr>
      <w:keepNext/>
      <w:numPr>
        <w:ilvl w:val="1"/>
        <w:numId w:val="31"/>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9A2FA7"/>
    <w:pPr>
      <w:keepNext/>
      <w:numPr>
        <w:ilvl w:val="2"/>
        <w:numId w:val="31"/>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9A2FA7"/>
    <w:pPr>
      <w:numPr>
        <w:numId w:val="30"/>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9A2FA7"/>
    <w:rPr>
      <w:rFonts w:ascii="Verdana" w:eastAsiaTheme="minorEastAsia" w:hAnsi="Verdana" w:cstheme="minorBidi"/>
      <w:lang w:eastAsia="ja-JP"/>
    </w:rPr>
  </w:style>
  <w:style w:type="paragraph" w:customStyle="1" w:styleId="Anhangberschrift">
    <w:name w:val="Anhang Überschrift"/>
    <w:basedOn w:val="Listenabsatz"/>
    <w:next w:val="Standard"/>
    <w:qFormat/>
    <w:rsid w:val="009A2FA7"/>
    <w:pPr>
      <w:keepNext/>
      <w:numPr>
        <w:numId w:val="31"/>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9A2FA7"/>
    <w:pPr>
      <w:numPr>
        <w:ilvl w:val="4"/>
        <w:numId w:val="31"/>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9A2FA7"/>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9A2FA7"/>
    <w:pPr>
      <w:numPr>
        <w:ilvl w:val="3"/>
      </w:numPr>
    </w:pPr>
    <w:rPr>
      <w:rFonts w:eastAsia="Times New Roman" w:cs="Times New Roman"/>
      <w:bCs/>
    </w:rPr>
  </w:style>
  <w:style w:type="character" w:styleId="NichtaufgelsteErwhnung">
    <w:name w:val="Unresolved Mention"/>
    <w:basedOn w:val="Absatz-Standardschriftart"/>
    <w:uiPriority w:val="99"/>
    <w:semiHidden/>
    <w:unhideWhenUsed/>
    <w:rsid w:val="007854B1"/>
    <w:rPr>
      <w:color w:val="605E5C"/>
      <w:shd w:val="clear" w:color="auto" w:fill="E1DFDD"/>
    </w:rPr>
  </w:style>
  <w:style w:type="paragraph" w:customStyle="1" w:styleId="VGTitel">
    <w:name w:val="VG Titel"/>
    <w:basedOn w:val="Standard"/>
    <w:link w:val="VGTitelZchn"/>
    <w:qFormat/>
    <w:rsid w:val="00233632"/>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233632"/>
    <w:rPr>
      <w:rFonts w:ascii="Verdana" w:eastAsiaTheme="minorEastAsia" w:hAnsi="Verdana" w:cstheme="minorBidi"/>
      <w:b/>
      <w:color w:val="1A5BA5"/>
      <w:sz w:val="36"/>
      <w:szCs w:val="36"/>
      <w:lang w:eastAsia="ja-JP"/>
    </w:rPr>
  </w:style>
  <w:style w:type="character" w:styleId="Kommentarzeichen">
    <w:name w:val="annotation reference"/>
    <w:basedOn w:val="Absatz-Standardschriftart"/>
    <w:uiPriority w:val="99"/>
    <w:semiHidden/>
    <w:unhideWhenUsed/>
    <w:rsid w:val="00233632"/>
    <w:rPr>
      <w:sz w:val="16"/>
      <w:szCs w:val="16"/>
    </w:rPr>
  </w:style>
  <w:style w:type="paragraph" w:styleId="Kommentartext">
    <w:name w:val="annotation text"/>
    <w:basedOn w:val="Standard"/>
    <w:link w:val="KommentartextZchn"/>
    <w:uiPriority w:val="99"/>
    <w:unhideWhenUsed/>
    <w:rsid w:val="00233632"/>
    <w:pPr>
      <w:jc w:val="both"/>
    </w:pPr>
    <w:rPr>
      <w:rFonts w:eastAsiaTheme="minorEastAsia" w:cstheme="minorBidi"/>
      <w:color w:val="auto"/>
      <w:lang w:eastAsia="ja-JP"/>
    </w:rPr>
  </w:style>
  <w:style w:type="character" w:customStyle="1" w:styleId="KommentartextZchn">
    <w:name w:val="Kommentartext Zchn"/>
    <w:basedOn w:val="Absatz-Standardschriftart"/>
    <w:link w:val="Kommentartext"/>
    <w:uiPriority w:val="99"/>
    <w:rsid w:val="00233632"/>
    <w:rPr>
      <w:rFonts w:ascii="Verdana" w:eastAsiaTheme="minorEastAsia" w:hAnsi="Verdana" w:cstheme="minorBidi"/>
      <w:lang w:eastAsia="ja-JP"/>
    </w:rPr>
  </w:style>
  <w:style w:type="paragraph" w:customStyle="1" w:styleId="b1">
    <w:name w:val="Üb 1"/>
    <w:basedOn w:val="Listenabsatz"/>
    <w:next w:val="Standard"/>
    <w:qFormat/>
    <w:rsid w:val="00015641"/>
    <w:pPr>
      <w:keepNext/>
      <w:numPr>
        <w:numId w:val="34"/>
      </w:numPr>
      <w:spacing w:before="360" w:after="120" w:line="288" w:lineRule="auto"/>
      <w:contextualSpacing w:val="0"/>
      <w:jc w:val="both"/>
      <w:outlineLvl w:val="0"/>
    </w:pPr>
    <w:rPr>
      <w:rFonts w:eastAsiaTheme="minorEastAsia" w:cstheme="minorBidi"/>
      <w:b/>
      <w:color w:val="auto"/>
      <w:sz w:val="22"/>
      <w:szCs w:val="22"/>
      <w:lang w:eastAsia="ja-JP"/>
    </w:rPr>
  </w:style>
  <w:style w:type="character" w:customStyle="1" w:styleId="AufzhlungPunkt1Zchn">
    <w:name w:val="Aufzählung Punkt 1 Zchn"/>
    <w:basedOn w:val="Absatz-Standardschriftart"/>
    <w:link w:val="AufzhlungPunkt1"/>
    <w:locked/>
    <w:rsid w:val="00015641"/>
    <w:rPr>
      <w:rFonts w:ascii="Verdana" w:eastAsiaTheme="minorEastAsia" w:hAnsi="Verdana"/>
      <w:lang w:eastAsia="ja-JP"/>
    </w:rPr>
  </w:style>
  <w:style w:type="paragraph" w:customStyle="1" w:styleId="AufzhlungPunkt1">
    <w:name w:val="Aufzählung Punkt 1"/>
    <w:basedOn w:val="Standard"/>
    <w:link w:val="AufzhlungPunkt1Zchn"/>
    <w:qFormat/>
    <w:rsid w:val="00015641"/>
    <w:pPr>
      <w:numPr>
        <w:numId w:val="35"/>
      </w:numPr>
      <w:spacing w:line="288" w:lineRule="auto"/>
      <w:jc w:val="both"/>
    </w:pPr>
    <w:rPr>
      <w:rFonts w:eastAsiaTheme="minorEastAsia"/>
      <w:color w:val="auto"/>
      <w:lang w:eastAsia="ja-JP"/>
    </w:rPr>
  </w:style>
  <w:style w:type="paragraph" w:customStyle="1" w:styleId="b2">
    <w:name w:val="Üb 2"/>
    <w:basedOn w:val="b1"/>
    <w:next w:val="Standard"/>
    <w:qFormat/>
    <w:rsid w:val="00015641"/>
    <w:pPr>
      <w:numPr>
        <w:ilvl w:val="1"/>
      </w:numPr>
      <w:spacing w:before="240"/>
      <w:outlineLvl w:val="1"/>
    </w:pPr>
    <w:rPr>
      <w:sz w:val="20"/>
    </w:rPr>
  </w:style>
  <w:style w:type="paragraph" w:customStyle="1" w:styleId="b3">
    <w:name w:val="Üb 3"/>
    <w:basedOn w:val="Listenabsatz"/>
    <w:next w:val="Standard"/>
    <w:qFormat/>
    <w:rsid w:val="00015641"/>
    <w:pPr>
      <w:keepNext/>
      <w:numPr>
        <w:ilvl w:val="2"/>
        <w:numId w:val="34"/>
      </w:numPr>
      <w:tabs>
        <w:tab w:val="num" w:pos="360"/>
      </w:tabs>
      <w:spacing w:before="240" w:after="120" w:line="288" w:lineRule="auto"/>
      <w:ind w:left="720" w:firstLine="0"/>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015641"/>
    <w:pPr>
      <w:numPr>
        <w:ilvl w:val="3"/>
      </w:numPr>
      <w:tabs>
        <w:tab w:val="num" w:pos="360"/>
      </w:tabs>
      <w:outlineLvl w:val="3"/>
    </w:pPr>
  </w:style>
  <w:style w:type="paragraph" w:customStyle="1" w:styleId="b5">
    <w:name w:val="Üb 5"/>
    <w:basedOn w:val="b4"/>
    <w:next w:val="Standard"/>
    <w:qFormat/>
    <w:rsid w:val="00015641"/>
    <w:pPr>
      <w:numPr>
        <w:ilvl w:val="4"/>
      </w:numPr>
      <w:tabs>
        <w:tab w:val="num" w:pos="360"/>
      </w:tabs>
      <w:outlineLvl w:val="4"/>
    </w:pPr>
  </w:style>
  <w:style w:type="paragraph" w:customStyle="1" w:styleId="b6">
    <w:name w:val="Üb 6"/>
    <w:basedOn w:val="b5"/>
    <w:next w:val="Standard"/>
    <w:qFormat/>
    <w:rsid w:val="00015641"/>
    <w:pPr>
      <w:numPr>
        <w:ilvl w:val="5"/>
      </w:numPr>
      <w:tabs>
        <w:tab w:val="num" w:pos="360"/>
      </w:tabs>
      <w:outlineLvl w:val="5"/>
    </w:pPr>
  </w:style>
  <w:style w:type="character" w:customStyle="1" w:styleId="AufzhlungBuchstabeZchn">
    <w:name w:val="Aufzählung Buchstabe Zchn"/>
    <w:basedOn w:val="Absatz-Standardschriftart"/>
    <w:link w:val="AufzhlungBuchstabe"/>
    <w:locked/>
    <w:rsid w:val="00015641"/>
    <w:rPr>
      <w:rFonts w:ascii="Verdana" w:eastAsiaTheme="minorEastAsia" w:hAnsi="Verdana"/>
      <w:lang w:eastAsia="ja-JP"/>
    </w:rPr>
  </w:style>
  <w:style w:type="paragraph" w:customStyle="1" w:styleId="AufzhlungBuchstabe">
    <w:name w:val="Aufzählung Buchstabe"/>
    <w:basedOn w:val="b2"/>
    <w:link w:val="AufzhlungBuchstabeZchn"/>
    <w:qFormat/>
    <w:rsid w:val="00015641"/>
    <w:pPr>
      <w:keepNext w:val="0"/>
      <w:numPr>
        <w:ilvl w:val="6"/>
      </w:numPr>
      <w:spacing w:before="0" w:after="0"/>
      <w:outlineLvl w:val="9"/>
    </w:pPr>
    <w:rPr>
      <w:rFonts w:cs="Times New Roman"/>
      <w:b w:val="0"/>
      <w:szCs w:val="20"/>
    </w:rPr>
  </w:style>
  <w:style w:type="paragraph" w:customStyle="1" w:styleId="AufzhlungBuchstabeFett">
    <w:name w:val="Aufzählung Buchstabe Fett"/>
    <w:basedOn w:val="AufzhlungBuchstabe"/>
    <w:rsid w:val="00015641"/>
    <w:pPr>
      <w:numPr>
        <w:ilvl w:val="8"/>
      </w:numPr>
      <w:tabs>
        <w:tab w:val="num" w:pos="360"/>
        <w:tab w:val="num" w:pos="6480"/>
      </w:tabs>
      <w:ind w:left="6480" w:hanging="360"/>
    </w:pPr>
    <w:rPr>
      <w:b/>
      <w:bCs/>
    </w:rPr>
  </w:style>
  <w:style w:type="paragraph" w:customStyle="1" w:styleId="AufzhlungBuchstabeKursiv">
    <w:name w:val="Aufzählung Buchstabe Kursiv"/>
    <w:basedOn w:val="AufzhlungBuchstabe"/>
    <w:rsid w:val="00015641"/>
    <w:pPr>
      <w:numPr>
        <w:ilvl w:val="7"/>
      </w:numPr>
      <w:tabs>
        <w:tab w:val="num" w:pos="360"/>
        <w:tab w:val="num" w:pos="5760"/>
      </w:tabs>
      <w:ind w:left="5760" w:hanging="360"/>
    </w:pPr>
    <w:rPr>
      <w:i/>
      <w:iCs/>
    </w:rPr>
  </w:style>
  <w:style w:type="character" w:customStyle="1" w:styleId="Hochgestellt">
    <w:name w:val="Hochgestellt"/>
    <w:basedOn w:val="Absatz-Standardschriftart"/>
    <w:rsid w:val="00015641"/>
    <w:rPr>
      <w:vertAlign w:val="superscript"/>
    </w:rPr>
  </w:style>
  <w:style w:type="character" w:customStyle="1" w:styleId="StandardfettZchn">
    <w:name w:val="Standard fett Zchn"/>
    <w:basedOn w:val="Absatz-Standardschriftart"/>
    <w:link w:val="Standardfett"/>
    <w:locked/>
    <w:rsid w:val="00015641"/>
    <w:rPr>
      <w:rFonts w:ascii="Verdana" w:hAnsi="Verdana"/>
      <w:b/>
      <w:lang w:eastAsia="ja-JP"/>
    </w:rPr>
  </w:style>
  <w:style w:type="paragraph" w:customStyle="1" w:styleId="Standardfett">
    <w:name w:val="Standard fett"/>
    <w:basedOn w:val="Standard"/>
    <w:link w:val="StandardfettZchn"/>
    <w:qFormat/>
    <w:rsid w:val="00015641"/>
    <w:pPr>
      <w:spacing w:line="288" w:lineRule="auto"/>
      <w:jc w:val="both"/>
    </w:pPr>
    <w:rPr>
      <w:b/>
      <w:color w:val="auto"/>
      <w:lang w:eastAsia="ja-JP"/>
    </w:rPr>
  </w:style>
  <w:style w:type="table" w:customStyle="1" w:styleId="TabellefrVergabegrundlageKopfzeilegrau">
    <w:name w:val="Tabelle für Vergabegrundlage Kopfzeile grau"/>
    <w:basedOn w:val="NormaleTabelle"/>
    <w:uiPriority w:val="99"/>
    <w:rsid w:val="00015641"/>
    <w:rPr>
      <w:rFonts w:ascii="Verdana" w:eastAsiaTheme="minorEastAsia" w:hAnsi="Verdana" w:cstheme="minorBidi"/>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hint="default"/>
        <w:b w:val="0"/>
        <w:sz w:val="20"/>
        <w:szCs w:val="20"/>
      </w:rPr>
      <w:tblPr/>
      <w:tcPr>
        <w:shd w:val="clear" w:color="auto" w:fill="F2F2F2" w:themeFill="background1" w:themeFillShade="F2"/>
      </w:tcPr>
    </w:tblStylePr>
  </w:style>
  <w:style w:type="character" w:customStyle="1" w:styleId="NachweisberschriftZchn">
    <w:name w:val="Nachweis Überschrift Zchn"/>
    <w:basedOn w:val="Absatz-Standardschriftart"/>
    <w:link w:val="Nachweisberschrift"/>
    <w:locked/>
    <w:rsid w:val="00015641"/>
    <w:rPr>
      <w:rFonts w:ascii="Verdana" w:eastAsiaTheme="minorEastAsia" w:hAnsi="Verdana"/>
      <w:b/>
      <w:i/>
      <w:lang w:eastAsia="ja-JP"/>
    </w:rPr>
  </w:style>
  <w:style w:type="paragraph" w:customStyle="1" w:styleId="Nachweisberschrift">
    <w:name w:val="Nachweis Überschrift"/>
    <w:basedOn w:val="Standard"/>
    <w:next w:val="Standard"/>
    <w:link w:val="NachweisberschriftZchn"/>
    <w:qFormat/>
    <w:rsid w:val="00015641"/>
    <w:pPr>
      <w:keepNext/>
      <w:spacing w:before="120" w:after="120" w:line="288" w:lineRule="auto"/>
      <w:jc w:val="both"/>
    </w:pPr>
    <w:rPr>
      <w:rFonts w:eastAsiaTheme="minorEastAsia"/>
      <w:b/>
      <w:i/>
      <w:color w:val="auto"/>
      <w:lang w:eastAsia="ja-JP"/>
    </w:rPr>
  </w:style>
  <w:style w:type="character" w:customStyle="1" w:styleId="StandardkursivZchn">
    <w:name w:val="Standard kursiv Zchn"/>
    <w:basedOn w:val="Absatz-Standardschriftart"/>
    <w:link w:val="Standardkursiv"/>
    <w:locked/>
    <w:rsid w:val="0030401A"/>
    <w:rPr>
      <w:rFonts w:ascii="Verdana" w:eastAsiaTheme="minorEastAsia" w:hAnsi="Verdana"/>
      <w:i/>
      <w:lang w:eastAsia="ja-JP"/>
    </w:rPr>
  </w:style>
  <w:style w:type="paragraph" w:customStyle="1" w:styleId="Standardkursiv">
    <w:name w:val="Standard kursiv"/>
    <w:basedOn w:val="Standard"/>
    <w:link w:val="StandardkursivZchn"/>
    <w:qFormat/>
    <w:rsid w:val="0030401A"/>
    <w:pPr>
      <w:spacing w:line="288" w:lineRule="auto"/>
      <w:jc w:val="both"/>
    </w:pPr>
    <w:rPr>
      <w:rFonts w:eastAsiaTheme="minorEastAsia"/>
      <w:i/>
      <w:color w:val="auto"/>
      <w:lang w:eastAsia="ja-JP"/>
    </w:rPr>
  </w:style>
  <w:style w:type="character" w:styleId="BesuchterLink">
    <w:name w:val="FollowedHyperlink"/>
    <w:basedOn w:val="Absatz-Standardschriftart"/>
    <w:uiPriority w:val="99"/>
    <w:semiHidden/>
    <w:unhideWhenUsed/>
    <w:rsid w:val="002717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127">
      <w:bodyDiv w:val="1"/>
      <w:marLeft w:val="0"/>
      <w:marRight w:val="0"/>
      <w:marTop w:val="0"/>
      <w:marBottom w:val="0"/>
      <w:divBdr>
        <w:top w:val="none" w:sz="0" w:space="0" w:color="auto"/>
        <w:left w:val="none" w:sz="0" w:space="0" w:color="auto"/>
        <w:bottom w:val="none" w:sz="0" w:space="0" w:color="auto"/>
        <w:right w:val="none" w:sz="0" w:space="0" w:color="auto"/>
      </w:divBdr>
    </w:div>
    <w:div w:id="96171513">
      <w:bodyDiv w:val="1"/>
      <w:marLeft w:val="0"/>
      <w:marRight w:val="0"/>
      <w:marTop w:val="0"/>
      <w:marBottom w:val="0"/>
      <w:divBdr>
        <w:top w:val="none" w:sz="0" w:space="0" w:color="auto"/>
        <w:left w:val="none" w:sz="0" w:space="0" w:color="auto"/>
        <w:bottom w:val="none" w:sz="0" w:space="0" w:color="auto"/>
        <w:right w:val="none" w:sz="0" w:space="0" w:color="auto"/>
      </w:divBdr>
    </w:div>
    <w:div w:id="265579453">
      <w:bodyDiv w:val="1"/>
      <w:marLeft w:val="0"/>
      <w:marRight w:val="0"/>
      <w:marTop w:val="0"/>
      <w:marBottom w:val="0"/>
      <w:divBdr>
        <w:top w:val="none" w:sz="0" w:space="0" w:color="auto"/>
        <w:left w:val="none" w:sz="0" w:space="0" w:color="auto"/>
        <w:bottom w:val="none" w:sz="0" w:space="0" w:color="auto"/>
        <w:right w:val="none" w:sz="0" w:space="0" w:color="auto"/>
      </w:divBdr>
    </w:div>
    <w:div w:id="333849983">
      <w:bodyDiv w:val="1"/>
      <w:marLeft w:val="0"/>
      <w:marRight w:val="0"/>
      <w:marTop w:val="0"/>
      <w:marBottom w:val="0"/>
      <w:divBdr>
        <w:top w:val="none" w:sz="0" w:space="0" w:color="auto"/>
        <w:left w:val="none" w:sz="0" w:space="0" w:color="auto"/>
        <w:bottom w:val="none" w:sz="0" w:space="0" w:color="auto"/>
        <w:right w:val="none" w:sz="0" w:space="0" w:color="auto"/>
      </w:divBdr>
    </w:div>
    <w:div w:id="584993056">
      <w:bodyDiv w:val="1"/>
      <w:marLeft w:val="0"/>
      <w:marRight w:val="0"/>
      <w:marTop w:val="0"/>
      <w:marBottom w:val="0"/>
      <w:divBdr>
        <w:top w:val="none" w:sz="0" w:space="0" w:color="auto"/>
        <w:left w:val="none" w:sz="0" w:space="0" w:color="auto"/>
        <w:bottom w:val="none" w:sz="0" w:space="0" w:color="auto"/>
        <w:right w:val="none" w:sz="0" w:space="0" w:color="auto"/>
      </w:divBdr>
    </w:div>
    <w:div w:id="602540482">
      <w:bodyDiv w:val="1"/>
      <w:marLeft w:val="0"/>
      <w:marRight w:val="0"/>
      <w:marTop w:val="0"/>
      <w:marBottom w:val="0"/>
      <w:divBdr>
        <w:top w:val="none" w:sz="0" w:space="0" w:color="auto"/>
        <w:left w:val="none" w:sz="0" w:space="0" w:color="auto"/>
        <w:bottom w:val="none" w:sz="0" w:space="0" w:color="auto"/>
        <w:right w:val="none" w:sz="0" w:space="0" w:color="auto"/>
      </w:divBdr>
    </w:div>
    <w:div w:id="900946384">
      <w:bodyDiv w:val="1"/>
      <w:marLeft w:val="0"/>
      <w:marRight w:val="0"/>
      <w:marTop w:val="0"/>
      <w:marBottom w:val="0"/>
      <w:divBdr>
        <w:top w:val="none" w:sz="0" w:space="0" w:color="auto"/>
        <w:left w:val="none" w:sz="0" w:space="0" w:color="auto"/>
        <w:bottom w:val="none" w:sz="0" w:space="0" w:color="auto"/>
        <w:right w:val="none" w:sz="0" w:space="0" w:color="auto"/>
      </w:divBdr>
    </w:div>
    <w:div w:id="1059521974">
      <w:bodyDiv w:val="1"/>
      <w:marLeft w:val="0"/>
      <w:marRight w:val="0"/>
      <w:marTop w:val="0"/>
      <w:marBottom w:val="0"/>
      <w:divBdr>
        <w:top w:val="none" w:sz="0" w:space="0" w:color="auto"/>
        <w:left w:val="none" w:sz="0" w:space="0" w:color="auto"/>
        <w:bottom w:val="none" w:sz="0" w:space="0" w:color="auto"/>
        <w:right w:val="none" w:sz="0" w:space="0" w:color="auto"/>
      </w:divBdr>
    </w:div>
    <w:div w:id="1398896168">
      <w:bodyDiv w:val="1"/>
      <w:marLeft w:val="0"/>
      <w:marRight w:val="0"/>
      <w:marTop w:val="0"/>
      <w:marBottom w:val="0"/>
      <w:divBdr>
        <w:top w:val="none" w:sz="0" w:space="0" w:color="auto"/>
        <w:left w:val="none" w:sz="0" w:space="0" w:color="auto"/>
        <w:bottom w:val="none" w:sz="0" w:space="0" w:color="auto"/>
        <w:right w:val="none" w:sz="0" w:space="0" w:color="auto"/>
      </w:divBdr>
    </w:div>
    <w:div w:id="1522355861">
      <w:bodyDiv w:val="1"/>
      <w:marLeft w:val="0"/>
      <w:marRight w:val="0"/>
      <w:marTop w:val="0"/>
      <w:marBottom w:val="0"/>
      <w:divBdr>
        <w:top w:val="none" w:sz="0" w:space="0" w:color="auto"/>
        <w:left w:val="none" w:sz="0" w:space="0" w:color="auto"/>
        <w:bottom w:val="none" w:sz="0" w:space="0" w:color="auto"/>
        <w:right w:val="none" w:sz="0" w:space="0" w:color="auto"/>
      </w:divBdr>
    </w:div>
    <w:div w:id="1649822619">
      <w:bodyDiv w:val="1"/>
      <w:marLeft w:val="0"/>
      <w:marRight w:val="0"/>
      <w:marTop w:val="0"/>
      <w:marBottom w:val="0"/>
      <w:divBdr>
        <w:top w:val="none" w:sz="0" w:space="0" w:color="auto"/>
        <w:left w:val="none" w:sz="0" w:space="0" w:color="auto"/>
        <w:bottom w:val="none" w:sz="0" w:space="0" w:color="auto"/>
        <w:right w:val="none" w:sz="0" w:space="0" w:color="auto"/>
      </w:divBdr>
    </w:div>
    <w:div w:id="1696806341">
      <w:bodyDiv w:val="1"/>
      <w:marLeft w:val="0"/>
      <w:marRight w:val="0"/>
      <w:marTop w:val="0"/>
      <w:marBottom w:val="0"/>
      <w:divBdr>
        <w:top w:val="none" w:sz="0" w:space="0" w:color="auto"/>
        <w:left w:val="none" w:sz="0" w:space="0" w:color="auto"/>
        <w:bottom w:val="none" w:sz="0" w:space="0" w:color="auto"/>
        <w:right w:val="none" w:sz="0" w:space="0" w:color="auto"/>
      </w:divBdr>
    </w:div>
    <w:div w:id="1744645018">
      <w:bodyDiv w:val="1"/>
      <w:marLeft w:val="0"/>
      <w:marRight w:val="0"/>
      <w:marTop w:val="0"/>
      <w:marBottom w:val="0"/>
      <w:divBdr>
        <w:top w:val="none" w:sz="0" w:space="0" w:color="auto"/>
        <w:left w:val="none" w:sz="0" w:space="0" w:color="auto"/>
        <w:bottom w:val="none" w:sz="0" w:space="0" w:color="auto"/>
        <w:right w:val="none" w:sz="0" w:space="0" w:color="auto"/>
      </w:divBdr>
    </w:div>
    <w:div w:id="1937783615">
      <w:bodyDiv w:val="1"/>
      <w:marLeft w:val="0"/>
      <w:marRight w:val="0"/>
      <w:marTop w:val="0"/>
      <w:marBottom w:val="0"/>
      <w:divBdr>
        <w:top w:val="none" w:sz="0" w:space="0" w:color="auto"/>
        <w:left w:val="none" w:sz="0" w:space="0" w:color="auto"/>
        <w:bottom w:val="none" w:sz="0" w:space="0" w:color="auto"/>
        <w:right w:val="none" w:sz="0" w:space="0" w:color="auto"/>
      </w:divBdr>
    </w:div>
    <w:div w:id="1946037158">
      <w:bodyDiv w:val="1"/>
      <w:marLeft w:val="0"/>
      <w:marRight w:val="0"/>
      <w:marTop w:val="0"/>
      <w:marBottom w:val="0"/>
      <w:divBdr>
        <w:top w:val="none" w:sz="0" w:space="0" w:color="auto"/>
        <w:left w:val="none" w:sz="0" w:space="0" w:color="auto"/>
        <w:bottom w:val="none" w:sz="0" w:space="0" w:color="auto"/>
        <w:right w:val="none" w:sz="0" w:space="0" w:color="auto"/>
      </w:divBdr>
    </w:div>
    <w:div w:id="1997805674">
      <w:bodyDiv w:val="1"/>
      <w:marLeft w:val="0"/>
      <w:marRight w:val="0"/>
      <w:marTop w:val="0"/>
      <w:marBottom w:val="0"/>
      <w:divBdr>
        <w:top w:val="none" w:sz="0" w:space="0" w:color="auto"/>
        <w:left w:val="none" w:sz="0" w:space="0" w:color="auto"/>
        <w:bottom w:val="none" w:sz="0" w:space="0" w:color="auto"/>
        <w:right w:val="none" w:sz="0" w:space="0" w:color="auto"/>
      </w:divBdr>
    </w:div>
    <w:div w:id="2095471470">
      <w:bodyDiv w:val="1"/>
      <w:marLeft w:val="0"/>
      <w:marRight w:val="0"/>
      <w:marTop w:val="0"/>
      <w:marBottom w:val="0"/>
      <w:divBdr>
        <w:top w:val="none" w:sz="0" w:space="0" w:color="auto"/>
        <w:left w:val="none" w:sz="0" w:space="0" w:color="auto"/>
        <w:bottom w:val="none" w:sz="0" w:space="0" w:color="auto"/>
        <w:right w:val="none" w:sz="0" w:space="0" w:color="auto"/>
      </w:divBdr>
    </w:div>
    <w:div w:id="213798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aua.de/DE/Angebote/Rechtstexte-und-Technische-Regeln/Regelwerk/TRGS/TRGS-614.html" TargetMode="External"/><Relationship Id="rId2" Type="http://schemas.openxmlformats.org/officeDocument/2006/relationships/hyperlink" Target="http://bfr.ble.de/kse/faces/DBEmpfehlung.jsp" TargetMode="External"/><Relationship Id="rId1" Type="http://schemas.openxmlformats.org/officeDocument/2006/relationships/hyperlink" Target="http://www.baua.de/nn_16812/de/Themen-von%20-A-Z/Gefahrstoffe/TRGS/pdf/TRGS-90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65A96-7982-4A27-875B-023F75B74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1642</Words>
  <Characters>10346</Characters>
  <Application>Microsoft Office Word</Application>
  <DocSecurity>2</DocSecurity>
  <Lines>86</Lines>
  <Paragraphs>23</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Buttner, Henrike</cp:lastModifiedBy>
  <cp:revision>2</cp:revision>
  <cp:lastPrinted>2021-02-18T15:32:00Z</cp:lastPrinted>
  <dcterms:created xsi:type="dcterms:W3CDTF">2021-12-08T14:15:00Z</dcterms:created>
  <dcterms:modified xsi:type="dcterms:W3CDTF">2021-12-08T14:15:00Z</dcterms:modified>
</cp:coreProperties>
</file>