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68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30"/>
        <w:gridCol w:w="2906"/>
        <w:gridCol w:w="2552"/>
      </w:tblGrid>
      <w:tr w:rsidR="000343BE" w:rsidRPr="004B7B3A" w:rsidTr="00A65824">
        <w:tc>
          <w:tcPr>
            <w:tcW w:w="7230" w:type="dxa"/>
            <w:tcBorders>
              <w:top w:val="nil"/>
              <w:left w:val="nil"/>
              <w:bottom w:val="single" w:sz="6" w:space="0" w:color="auto"/>
              <w:right w:val="nil"/>
            </w:tcBorders>
          </w:tcPr>
          <w:p w:rsidR="000343BE" w:rsidRPr="004B7B3A" w:rsidRDefault="000343BE" w:rsidP="00352FBF">
            <w:pPr>
              <w:tabs>
                <w:tab w:val="left" w:pos="5670"/>
              </w:tabs>
              <w:rPr>
                <w:rFonts w:cs="Arial"/>
                <w:b/>
                <w:szCs w:val="22"/>
              </w:rPr>
            </w:pPr>
            <w:r w:rsidRPr="004B7B3A">
              <w:rPr>
                <w:rFonts w:cs="Arial"/>
                <w:b/>
                <w:szCs w:val="22"/>
              </w:rPr>
              <w:t xml:space="preserve">Anlage 1 zum Vertrag nach </w:t>
            </w:r>
            <w:r w:rsidR="000E7117" w:rsidRPr="004B7B3A">
              <w:rPr>
                <w:rFonts w:cs="Arial"/>
                <w:b/>
                <w:szCs w:val="22"/>
              </w:rPr>
              <w:t>DE</w:t>
            </w:r>
            <w:r w:rsidRPr="004B7B3A">
              <w:rPr>
                <w:rFonts w:cs="Arial"/>
                <w:b/>
                <w:szCs w:val="22"/>
              </w:rPr>
              <w:t xml:space="preserve">-UZ </w:t>
            </w:r>
            <w:r w:rsidR="00402BE6" w:rsidRPr="004B7B3A">
              <w:rPr>
                <w:rFonts w:cs="Arial"/>
                <w:b/>
                <w:szCs w:val="22"/>
              </w:rPr>
              <w:t>221</w:t>
            </w:r>
          </w:p>
          <w:p w:rsidR="000343BE" w:rsidRPr="004B7B3A" w:rsidRDefault="000343BE" w:rsidP="00352FBF">
            <w:pPr>
              <w:tabs>
                <w:tab w:val="left" w:pos="5670"/>
              </w:tabs>
              <w:rPr>
                <w:rFonts w:cs="Arial"/>
                <w:b/>
                <w:szCs w:val="22"/>
              </w:rPr>
            </w:pPr>
          </w:p>
          <w:p w:rsidR="000343BE" w:rsidRPr="004B7B3A" w:rsidRDefault="000343BE" w:rsidP="00352FBF">
            <w:pPr>
              <w:tabs>
                <w:tab w:val="left" w:pos="5670"/>
              </w:tabs>
              <w:rPr>
                <w:rFonts w:cs="Arial"/>
                <w:b/>
                <w:szCs w:val="22"/>
              </w:rPr>
            </w:pPr>
            <w:r w:rsidRPr="004B7B3A">
              <w:rPr>
                <w:rFonts w:cs="Arial"/>
                <w:b/>
                <w:szCs w:val="22"/>
              </w:rPr>
              <w:t>Umweltzeichen für</w:t>
            </w:r>
          </w:p>
          <w:p w:rsidR="000343BE" w:rsidRPr="004B7B3A" w:rsidRDefault="000343BE" w:rsidP="00352FBF">
            <w:pPr>
              <w:tabs>
                <w:tab w:val="left" w:pos="5670"/>
              </w:tabs>
              <w:rPr>
                <w:rFonts w:cs="Arial"/>
                <w:b/>
                <w:szCs w:val="22"/>
              </w:rPr>
            </w:pPr>
            <w:r w:rsidRPr="004B7B3A">
              <w:rPr>
                <w:rFonts w:cs="Arial"/>
                <w:b/>
                <w:szCs w:val="22"/>
              </w:rPr>
              <w:t>„</w:t>
            </w:r>
            <w:r w:rsidR="00402BE6" w:rsidRPr="004B7B3A">
              <w:rPr>
                <w:rFonts w:cs="Arial"/>
                <w:b/>
                <w:szCs w:val="22"/>
              </w:rPr>
              <w:t xml:space="preserve">Unterwasserbeschichtungen und andere </w:t>
            </w:r>
            <w:proofErr w:type="spellStart"/>
            <w:r w:rsidR="00402BE6" w:rsidRPr="004B7B3A">
              <w:rPr>
                <w:rFonts w:cs="Arial"/>
                <w:b/>
                <w:szCs w:val="22"/>
              </w:rPr>
              <w:t>Bewuchsschutzsysteme</w:t>
            </w:r>
            <w:proofErr w:type="spellEnd"/>
            <w:r w:rsidRPr="004B7B3A">
              <w:rPr>
                <w:rFonts w:cs="Arial"/>
                <w:b/>
                <w:szCs w:val="22"/>
              </w:rPr>
              <w:t>“</w:t>
            </w:r>
          </w:p>
        </w:tc>
        <w:tc>
          <w:tcPr>
            <w:tcW w:w="2906" w:type="dxa"/>
            <w:tcBorders>
              <w:top w:val="nil"/>
              <w:left w:val="nil"/>
              <w:bottom w:val="nil"/>
              <w:right w:val="single" w:sz="6" w:space="0" w:color="auto"/>
            </w:tcBorders>
          </w:tcPr>
          <w:p w:rsidR="000343BE" w:rsidRPr="004B7B3A" w:rsidRDefault="000343BE" w:rsidP="00352FBF">
            <w:pPr>
              <w:tabs>
                <w:tab w:val="left" w:pos="5670"/>
              </w:tabs>
              <w:rPr>
                <w:rFonts w:cs="Arial"/>
                <w:b/>
                <w:szCs w:val="22"/>
              </w:rPr>
            </w:pPr>
          </w:p>
        </w:tc>
        <w:tc>
          <w:tcPr>
            <w:tcW w:w="2552" w:type="dxa"/>
            <w:tcBorders>
              <w:left w:val="nil"/>
            </w:tcBorders>
            <w:vAlign w:val="center"/>
          </w:tcPr>
          <w:p w:rsidR="000343BE" w:rsidRPr="004B7B3A" w:rsidRDefault="000343BE" w:rsidP="00352FBF">
            <w:pPr>
              <w:tabs>
                <w:tab w:val="left" w:pos="5670"/>
              </w:tabs>
              <w:jc w:val="center"/>
              <w:rPr>
                <w:rFonts w:cs="Arial"/>
                <w:b/>
                <w:szCs w:val="22"/>
              </w:rPr>
            </w:pPr>
            <w:r w:rsidRPr="004B7B3A">
              <w:rPr>
                <w:rFonts w:cs="Arial"/>
                <w:b/>
                <w:szCs w:val="22"/>
              </w:rPr>
              <w:t>Bitte benutzen Sie</w:t>
            </w:r>
          </w:p>
          <w:p w:rsidR="000343BE" w:rsidRPr="004B7B3A" w:rsidRDefault="000343BE" w:rsidP="00352FBF">
            <w:pPr>
              <w:tabs>
                <w:tab w:val="left" w:pos="5670"/>
              </w:tabs>
              <w:jc w:val="center"/>
              <w:rPr>
                <w:rFonts w:cs="Arial"/>
                <w:b/>
                <w:szCs w:val="22"/>
              </w:rPr>
            </w:pPr>
          </w:p>
          <w:p w:rsidR="000343BE" w:rsidRPr="004B7B3A" w:rsidRDefault="000343BE" w:rsidP="00352FBF">
            <w:pPr>
              <w:tabs>
                <w:tab w:val="left" w:pos="5670"/>
              </w:tabs>
              <w:jc w:val="center"/>
              <w:rPr>
                <w:rFonts w:cs="Arial"/>
                <w:b/>
                <w:szCs w:val="22"/>
              </w:rPr>
            </w:pPr>
            <w:r w:rsidRPr="004B7B3A">
              <w:rPr>
                <w:rFonts w:cs="Arial"/>
                <w:b/>
                <w:szCs w:val="22"/>
              </w:rPr>
              <w:t>diesen Vordruck!</w:t>
            </w:r>
          </w:p>
        </w:tc>
      </w:tr>
    </w:tbl>
    <w:p w:rsidR="000343BE" w:rsidRPr="004B7B3A" w:rsidRDefault="000343BE" w:rsidP="000343BE">
      <w:pPr>
        <w:tabs>
          <w:tab w:val="left" w:pos="5670"/>
        </w:tabs>
        <w:rPr>
          <w:rFonts w:cs="Arial"/>
          <w:szCs w:val="22"/>
        </w:rPr>
      </w:pPr>
    </w:p>
    <w:p w:rsidR="000343BE" w:rsidRPr="004B7B3A" w:rsidRDefault="000343BE" w:rsidP="000343BE">
      <w:pPr>
        <w:tabs>
          <w:tab w:val="left" w:pos="5670"/>
        </w:tabs>
        <w:rPr>
          <w:rFonts w:cs="Arial"/>
          <w:szCs w:val="22"/>
        </w:rPr>
      </w:pPr>
    </w:p>
    <w:p w:rsidR="000343BE" w:rsidRPr="004B7B3A" w:rsidRDefault="000343BE" w:rsidP="000343BE">
      <w:pPr>
        <w:tabs>
          <w:tab w:val="left" w:pos="3119"/>
        </w:tabs>
        <w:jc w:val="both"/>
        <w:rPr>
          <w:rFonts w:cs="Arial"/>
          <w:szCs w:val="22"/>
        </w:rPr>
      </w:pPr>
      <w:r w:rsidRPr="004B7B3A">
        <w:rPr>
          <w:rFonts w:cs="Arial"/>
          <w:szCs w:val="22"/>
        </w:rPr>
        <w:t>Hersteller (Zeichennehmer):</w:t>
      </w:r>
      <w:r w:rsidRPr="004B7B3A">
        <w:rPr>
          <w:rFonts w:cs="Arial"/>
          <w:szCs w:val="22"/>
        </w:rPr>
        <w:tab/>
      </w:r>
      <w:r w:rsidRPr="004B7B3A">
        <w:rPr>
          <w:rFonts w:cs="Arial"/>
          <w:szCs w:val="22"/>
        </w:rPr>
        <w:fldChar w:fldCharType="begin">
          <w:ffData>
            <w:name w:val="Text4"/>
            <w:enabled/>
            <w:calcOnExit w:val="0"/>
            <w:textInput>
              <w:maxLength w:val="40"/>
            </w:textInput>
          </w:ffData>
        </w:fldChar>
      </w:r>
      <w:bookmarkStart w:id="0" w:name="Text4"/>
      <w:r w:rsidRPr="004B7B3A">
        <w:rPr>
          <w:rFonts w:cs="Arial"/>
          <w:szCs w:val="22"/>
        </w:rPr>
        <w:instrText xml:space="preserve"> FORMTEXT </w:instrText>
      </w:r>
      <w:r w:rsidRPr="004B7B3A">
        <w:rPr>
          <w:rFonts w:cs="Arial"/>
          <w:szCs w:val="22"/>
        </w:rPr>
      </w:r>
      <w:r w:rsidRPr="004B7B3A">
        <w:rPr>
          <w:rFonts w:cs="Arial"/>
          <w:szCs w:val="22"/>
        </w:rPr>
        <w:fldChar w:fldCharType="separate"/>
      </w:r>
      <w:r w:rsidR="00CD6CFF" w:rsidRPr="004B7B3A">
        <w:rPr>
          <w:rFonts w:cs="Arial"/>
          <w:szCs w:val="22"/>
        </w:rPr>
        <w:t> </w:t>
      </w:r>
      <w:r w:rsidR="00CD6CFF" w:rsidRPr="004B7B3A">
        <w:rPr>
          <w:rFonts w:cs="Arial"/>
          <w:szCs w:val="22"/>
        </w:rPr>
        <w:t> </w:t>
      </w:r>
      <w:r w:rsidR="00CD6CFF" w:rsidRPr="004B7B3A">
        <w:rPr>
          <w:rFonts w:cs="Arial"/>
          <w:szCs w:val="22"/>
        </w:rPr>
        <w:t> </w:t>
      </w:r>
      <w:r w:rsidR="00CD6CFF" w:rsidRPr="004B7B3A">
        <w:rPr>
          <w:rFonts w:cs="Arial"/>
          <w:szCs w:val="22"/>
        </w:rPr>
        <w:t> </w:t>
      </w:r>
      <w:r w:rsidR="00CD6CFF" w:rsidRPr="004B7B3A">
        <w:rPr>
          <w:rFonts w:cs="Arial"/>
          <w:szCs w:val="22"/>
        </w:rPr>
        <w:t> </w:t>
      </w:r>
      <w:r w:rsidRPr="004B7B3A">
        <w:rPr>
          <w:rFonts w:cs="Arial"/>
          <w:szCs w:val="22"/>
        </w:rPr>
        <w:fldChar w:fldCharType="end"/>
      </w:r>
      <w:bookmarkEnd w:id="0"/>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9670C1">
        <w:rPr>
          <w:rFonts w:cs="Arial"/>
          <w:szCs w:val="22"/>
        </w:rPr>
        <w:t> </w:t>
      </w:r>
      <w:r w:rsidR="009670C1">
        <w:rPr>
          <w:rFonts w:cs="Arial"/>
          <w:szCs w:val="22"/>
        </w:rPr>
        <w:t> </w:t>
      </w:r>
      <w:r w:rsidR="009670C1">
        <w:rPr>
          <w:rFonts w:cs="Arial"/>
          <w:szCs w:val="22"/>
        </w:rPr>
        <w:t> </w:t>
      </w:r>
      <w:r w:rsidR="009670C1">
        <w:rPr>
          <w:rFonts w:cs="Arial"/>
          <w:szCs w:val="22"/>
        </w:rPr>
        <w:t> </w:t>
      </w:r>
      <w:r w:rsidR="009670C1">
        <w:rPr>
          <w:rFonts w:cs="Arial"/>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p>
    <w:p w:rsidR="000343BE" w:rsidRPr="004B7B3A" w:rsidRDefault="000343BE" w:rsidP="000343BE">
      <w:pPr>
        <w:tabs>
          <w:tab w:val="left" w:pos="3119"/>
        </w:tabs>
        <w:jc w:val="both"/>
        <w:rPr>
          <w:rFonts w:cs="Arial"/>
          <w:szCs w:val="22"/>
        </w:rPr>
      </w:pPr>
    </w:p>
    <w:p w:rsidR="000343BE" w:rsidRPr="004B7B3A" w:rsidRDefault="000343BE" w:rsidP="000343BE">
      <w:pPr>
        <w:tabs>
          <w:tab w:val="left" w:pos="739"/>
          <w:tab w:val="left" w:pos="3119"/>
        </w:tabs>
        <w:rPr>
          <w:rFonts w:cs="Arial"/>
          <w:szCs w:val="22"/>
        </w:rPr>
      </w:pPr>
      <w:r w:rsidRPr="004B7B3A">
        <w:rPr>
          <w:rFonts w:cs="Arial"/>
          <w:szCs w:val="22"/>
        </w:rPr>
        <w:t>Vertreiber (Zeichenanwender):</w:t>
      </w: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p>
    <w:p w:rsidR="000343BE" w:rsidRPr="004B7B3A" w:rsidRDefault="000343BE" w:rsidP="000343BE">
      <w:pPr>
        <w:tabs>
          <w:tab w:val="left" w:pos="3119"/>
        </w:tabs>
        <w:jc w:val="both"/>
        <w:rPr>
          <w:rFonts w:cs="Arial"/>
          <w:szCs w:val="22"/>
        </w:rPr>
      </w:pPr>
    </w:p>
    <w:p w:rsidR="000343BE" w:rsidRPr="004B7B3A" w:rsidRDefault="000343BE" w:rsidP="000343BE">
      <w:pPr>
        <w:tabs>
          <w:tab w:val="left" w:pos="3119"/>
        </w:tabs>
        <w:jc w:val="both"/>
        <w:rPr>
          <w:rFonts w:cs="Arial"/>
          <w:szCs w:val="22"/>
        </w:rPr>
      </w:pPr>
      <w:r w:rsidRPr="004B7B3A">
        <w:rPr>
          <w:rFonts w:cs="Arial"/>
          <w:szCs w:val="22"/>
        </w:rPr>
        <w:t>Produktbezeichnung:</w:t>
      </w: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s>
        <w:jc w:val="both"/>
        <w:rPr>
          <w:rFonts w:cs="Arial"/>
          <w:szCs w:val="22"/>
        </w:rPr>
      </w:pPr>
      <w:r w:rsidRPr="004B7B3A">
        <w:rPr>
          <w:rFonts w:cs="Arial"/>
          <w:szCs w:val="22"/>
        </w:rPr>
        <w:tab/>
      </w:r>
      <w:r w:rsidRPr="004B7B3A">
        <w:rPr>
          <w:rFonts w:cs="Arial"/>
          <w:szCs w:val="22"/>
        </w:rPr>
        <w:fldChar w:fldCharType="begin">
          <w:ffData>
            <w:name w:val="Text4"/>
            <w:enabled/>
            <w:calcOnExit w:val="0"/>
            <w:textInput>
              <w:maxLength w:val="40"/>
            </w:textInput>
          </w:ffData>
        </w:fldChar>
      </w:r>
      <w:r w:rsidRPr="004B7B3A">
        <w:rPr>
          <w:rFonts w:cs="Arial"/>
          <w:szCs w:val="22"/>
        </w:rPr>
        <w:instrText xml:space="preserve"> FORMTEXT </w:instrText>
      </w:r>
      <w:r w:rsidRPr="004B7B3A">
        <w:rPr>
          <w:rFonts w:cs="Arial"/>
          <w:szCs w:val="22"/>
        </w:rPr>
      </w:r>
      <w:r w:rsidRPr="004B7B3A">
        <w:rPr>
          <w:rFonts w:cs="Arial"/>
          <w:szCs w:val="22"/>
        </w:rPr>
        <w:fldChar w:fldCharType="separate"/>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00B8308B" w:rsidRPr="004B7B3A">
        <w:rPr>
          <w:rFonts w:cs="Arial"/>
          <w:noProof/>
          <w:szCs w:val="22"/>
        </w:rPr>
        <w:t> </w:t>
      </w:r>
      <w:r w:rsidRPr="004B7B3A">
        <w:rPr>
          <w:rFonts w:cs="Arial"/>
          <w:szCs w:val="22"/>
        </w:rPr>
        <w:fldChar w:fldCharType="end"/>
      </w:r>
    </w:p>
    <w:p w:rsidR="000343BE" w:rsidRPr="004B7B3A" w:rsidRDefault="000343BE" w:rsidP="000343BE">
      <w:pPr>
        <w:tabs>
          <w:tab w:val="left" w:pos="3119"/>
          <w:tab w:val="left" w:pos="5387"/>
        </w:tabs>
        <w:jc w:val="both"/>
        <w:rPr>
          <w:rFonts w:cs="Arial"/>
          <w:szCs w:val="22"/>
        </w:rPr>
      </w:pPr>
    </w:p>
    <w:p w:rsidR="00ED661A" w:rsidRPr="004B7B3A" w:rsidRDefault="00ED661A" w:rsidP="000343BE">
      <w:pPr>
        <w:tabs>
          <w:tab w:val="left" w:pos="3119"/>
          <w:tab w:val="left" w:pos="5387"/>
        </w:tabs>
        <w:jc w:val="both"/>
        <w:rPr>
          <w:rFonts w:cs="Arial"/>
          <w:b/>
          <w:szCs w:val="22"/>
        </w:rPr>
      </w:pPr>
      <w:r w:rsidRPr="004B7B3A">
        <w:rPr>
          <w:rFonts w:cs="Arial"/>
          <w:b/>
          <w:szCs w:val="22"/>
        </w:rPr>
        <w:t>Das oben genannte Produkt ist ein(e):</w:t>
      </w:r>
    </w:p>
    <w:p w:rsidR="00ED661A" w:rsidRPr="004B7B3A" w:rsidRDefault="00ED661A" w:rsidP="000343BE">
      <w:pPr>
        <w:tabs>
          <w:tab w:val="left" w:pos="3119"/>
          <w:tab w:val="left" w:pos="5387"/>
        </w:tabs>
        <w:jc w:val="both"/>
        <w:rPr>
          <w:rFonts w:cs="Arial"/>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72"/>
        <w:gridCol w:w="709"/>
        <w:gridCol w:w="3531"/>
        <w:gridCol w:w="438"/>
      </w:tblGrid>
      <w:tr w:rsidR="00020130" w:rsidRPr="004B7B3A" w:rsidTr="00020130">
        <w:tc>
          <w:tcPr>
            <w:tcW w:w="3572" w:type="dxa"/>
          </w:tcPr>
          <w:p w:rsidR="00ED661A" w:rsidRPr="004B7B3A" w:rsidRDefault="00020130" w:rsidP="00677777">
            <w:pPr>
              <w:rPr>
                <w:rFonts w:cs="Arial"/>
                <w:szCs w:val="22"/>
              </w:rPr>
            </w:pPr>
            <w:r w:rsidRPr="004B7B3A">
              <w:rPr>
                <w:rFonts w:cs="Arial"/>
                <w:szCs w:val="22"/>
              </w:rPr>
              <w:t>Beschichtung</w:t>
            </w:r>
          </w:p>
        </w:tc>
        <w:tc>
          <w:tcPr>
            <w:tcW w:w="709" w:type="dxa"/>
          </w:tcPr>
          <w:p w:rsidR="00ED661A" w:rsidRPr="004B7B3A" w:rsidRDefault="00ED661A" w:rsidP="00677777">
            <w:pPr>
              <w:rPr>
                <w:rFonts w:cs="Arial"/>
                <w:szCs w:val="22"/>
              </w:rPr>
            </w:pPr>
            <w:r w:rsidRPr="004B7B3A">
              <w:rPr>
                <w:rFonts w:cs="Arial"/>
                <w:szCs w:val="22"/>
              </w:rPr>
              <w:fldChar w:fldCharType="begin">
                <w:ffData>
                  <w:name w:val="Kontrollkästchen72"/>
                  <w:enabled/>
                  <w:calcOnExit w:val="0"/>
                  <w:checkBox>
                    <w:sizeAuto/>
                    <w:default w:val="0"/>
                    <w:checked w:val="0"/>
                  </w:checkBox>
                </w:ffData>
              </w:fldChar>
            </w:r>
            <w:bookmarkStart w:id="1" w:name="Kontrollkästchen72"/>
            <w:r w:rsidRPr="004B7B3A">
              <w:rPr>
                <w:rFonts w:cs="Arial"/>
                <w:szCs w:val="22"/>
              </w:rPr>
              <w:instrText xml:space="preserve"> FORMCHECKBOX </w:instrText>
            </w:r>
            <w:r w:rsidR="009670C1" w:rsidRPr="004B7B3A">
              <w:rPr>
                <w:rFonts w:cs="Arial"/>
                <w:szCs w:val="22"/>
              </w:rPr>
            </w:r>
            <w:r w:rsidR="009670C1">
              <w:rPr>
                <w:rFonts w:cs="Arial"/>
                <w:szCs w:val="22"/>
              </w:rPr>
              <w:fldChar w:fldCharType="separate"/>
            </w:r>
            <w:r w:rsidRPr="004B7B3A">
              <w:rPr>
                <w:rFonts w:cs="Arial"/>
                <w:szCs w:val="22"/>
              </w:rPr>
              <w:fldChar w:fldCharType="end"/>
            </w:r>
            <w:bookmarkEnd w:id="1"/>
          </w:p>
        </w:tc>
        <w:tc>
          <w:tcPr>
            <w:tcW w:w="3531" w:type="dxa"/>
          </w:tcPr>
          <w:p w:rsidR="00ED661A" w:rsidRPr="004B7B3A" w:rsidRDefault="00020130" w:rsidP="00677777">
            <w:pPr>
              <w:rPr>
                <w:rFonts w:cs="Arial"/>
                <w:szCs w:val="22"/>
              </w:rPr>
            </w:pPr>
            <w:r w:rsidRPr="004B7B3A">
              <w:rPr>
                <w:rFonts w:cs="Arial"/>
                <w:szCs w:val="22"/>
              </w:rPr>
              <w:t>Ultraschallanlage</w:t>
            </w:r>
          </w:p>
        </w:tc>
        <w:tc>
          <w:tcPr>
            <w:tcW w:w="438" w:type="dxa"/>
          </w:tcPr>
          <w:p w:rsidR="00ED661A" w:rsidRPr="004B7B3A" w:rsidRDefault="00ED661A" w:rsidP="00677777">
            <w:pPr>
              <w:rPr>
                <w:rFonts w:cs="Arial"/>
                <w:szCs w:val="22"/>
              </w:rPr>
            </w:pPr>
            <w:r w:rsidRPr="004B7B3A">
              <w:rPr>
                <w:rFonts w:cs="Arial"/>
                <w:szCs w:val="22"/>
              </w:rPr>
              <w:fldChar w:fldCharType="begin">
                <w:ffData>
                  <w:name w:val="Kontrollkästchen75"/>
                  <w:enabled/>
                  <w:calcOnExit w:val="0"/>
                  <w:checkBox>
                    <w:sizeAuto/>
                    <w:default w:val="0"/>
                  </w:checkBox>
                </w:ffData>
              </w:fldChar>
            </w:r>
            <w:bookmarkStart w:id="2" w:name="Kontrollkästchen75"/>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bookmarkEnd w:id="2"/>
          </w:p>
        </w:tc>
      </w:tr>
      <w:tr w:rsidR="00020130" w:rsidRPr="004B7B3A" w:rsidTr="00020130">
        <w:tc>
          <w:tcPr>
            <w:tcW w:w="3572" w:type="dxa"/>
          </w:tcPr>
          <w:p w:rsidR="00ED661A" w:rsidRPr="004B7B3A" w:rsidRDefault="00020130" w:rsidP="00677777">
            <w:pPr>
              <w:rPr>
                <w:rFonts w:cs="Arial"/>
                <w:szCs w:val="22"/>
              </w:rPr>
            </w:pPr>
            <w:r w:rsidRPr="004B7B3A">
              <w:rPr>
                <w:rFonts w:cs="Arial"/>
                <w:szCs w:val="22"/>
              </w:rPr>
              <w:t>Klebefolie</w:t>
            </w:r>
          </w:p>
        </w:tc>
        <w:tc>
          <w:tcPr>
            <w:tcW w:w="709" w:type="dxa"/>
          </w:tcPr>
          <w:p w:rsidR="00ED661A" w:rsidRPr="004B7B3A" w:rsidRDefault="00ED661A" w:rsidP="00677777">
            <w:pPr>
              <w:rPr>
                <w:rFonts w:cs="Arial"/>
                <w:szCs w:val="22"/>
              </w:rPr>
            </w:pPr>
            <w:r w:rsidRPr="004B7B3A">
              <w:rPr>
                <w:rFonts w:cs="Arial"/>
                <w:szCs w:val="22"/>
              </w:rPr>
              <w:fldChar w:fldCharType="begin">
                <w:ffData>
                  <w:name w:val="Kontrollkästchen78"/>
                  <w:enabled/>
                  <w:calcOnExit w:val="0"/>
                  <w:checkBox>
                    <w:sizeAuto/>
                    <w:default w:val="0"/>
                    <w:checked w:val="0"/>
                  </w:checkBox>
                </w:ffData>
              </w:fldChar>
            </w:r>
            <w:bookmarkStart w:id="3" w:name="Kontrollkästchen78"/>
            <w:r w:rsidRPr="004B7B3A">
              <w:rPr>
                <w:rFonts w:cs="Arial"/>
                <w:szCs w:val="22"/>
              </w:rPr>
              <w:instrText xml:space="preserve"> FORMCHECKBOX </w:instrText>
            </w:r>
            <w:r w:rsidR="009670C1" w:rsidRPr="004B7B3A">
              <w:rPr>
                <w:rFonts w:cs="Arial"/>
                <w:szCs w:val="22"/>
              </w:rPr>
            </w:r>
            <w:r w:rsidR="009670C1">
              <w:rPr>
                <w:rFonts w:cs="Arial"/>
                <w:szCs w:val="22"/>
              </w:rPr>
              <w:fldChar w:fldCharType="separate"/>
            </w:r>
            <w:r w:rsidRPr="004B7B3A">
              <w:rPr>
                <w:rFonts w:cs="Arial"/>
                <w:szCs w:val="22"/>
              </w:rPr>
              <w:fldChar w:fldCharType="end"/>
            </w:r>
            <w:bookmarkEnd w:id="3"/>
          </w:p>
        </w:tc>
        <w:tc>
          <w:tcPr>
            <w:tcW w:w="3531" w:type="dxa"/>
          </w:tcPr>
          <w:p w:rsidR="00ED661A" w:rsidRPr="004B7B3A" w:rsidRDefault="00020130" w:rsidP="00677777">
            <w:pPr>
              <w:rPr>
                <w:rFonts w:cs="Arial"/>
                <w:szCs w:val="22"/>
              </w:rPr>
            </w:pPr>
            <w:r w:rsidRPr="004B7B3A">
              <w:rPr>
                <w:rFonts w:cs="Arial"/>
                <w:szCs w:val="22"/>
              </w:rPr>
              <w:t>Bootshebeanlage</w:t>
            </w:r>
          </w:p>
        </w:tc>
        <w:tc>
          <w:tcPr>
            <w:tcW w:w="438" w:type="dxa"/>
          </w:tcPr>
          <w:p w:rsidR="00ED661A" w:rsidRPr="004B7B3A" w:rsidRDefault="00ED661A" w:rsidP="00677777">
            <w:pPr>
              <w:rPr>
                <w:rFonts w:cs="Arial"/>
                <w:szCs w:val="22"/>
              </w:rPr>
            </w:pPr>
            <w:r w:rsidRPr="004B7B3A">
              <w:rPr>
                <w:rFonts w:cs="Arial"/>
                <w:szCs w:val="22"/>
              </w:rPr>
              <w:fldChar w:fldCharType="begin">
                <w:ffData>
                  <w:name w:val="Kontrollkästchen76"/>
                  <w:enabled/>
                  <w:calcOnExit w:val="0"/>
                  <w:checkBox>
                    <w:sizeAuto/>
                    <w:default w:val="0"/>
                  </w:checkBox>
                </w:ffData>
              </w:fldChar>
            </w:r>
            <w:bookmarkStart w:id="4" w:name="Kontrollkästchen76"/>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bookmarkEnd w:id="4"/>
          </w:p>
        </w:tc>
      </w:tr>
      <w:tr w:rsidR="00020130" w:rsidRPr="004B7B3A" w:rsidTr="00020130">
        <w:tc>
          <w:tcPr>
            <w:tcW w:w="3572" w:type="dxa"/>
          </w:tcPr>
          <w:p w:rsidR="00ED661A" w:rsidRPr="004B7B3A" w:rsidRDefault="00020130" w:rsidP="00677777">
            <w:pPr>
              <w:rPr>
                <w:rFonts w:cs="Arial"/>
                <w:szCs w:val="22"/>
              </w:rPr>
            </w:pPr>
            <w:r w:rsidRPr="004B7B3A">
              <w:rPr>
                <w:rFonts w:cs="Arial"/>
                <w:szCs w:val="22"/>
              </w:rPr>
              <w:t>Reinigungsfähige Hartbeschichtung</w:t>
            </w:r>
          </w:p>
        </w:tc>
        <w:tc>
          <w:tcPr>
            <w:tcW w:w="709" w:type="dxa"/>
          </w:tcPr>
          <w:p w:rsidR="00ED661A" w:rsidRPr="004B7B3A" w:rsidRDefault="00ED661A" w:rsidP="00677777">
            <w:pPr>
              <w:rPr>
                <w:rFonts w:cs="Arial"/>
                <w:szCs w:val="22"/>
              </w:rPr>
            </w:pPr>
            <w:r w:rsidRPr="004B7B3A">
              <w:rPr>
                <w:rFonts w:cs="Arial"/>
                <w:szCs w:val="22"/>
              </w:rPr>
              <w:fldChar w:fldCharType="begin">
                <w:ffData>
                  <w:name w:val="Kontrollkästchen90"/>
                  <w:enabled/>
                  <w:calcOnExit w:val="0"/>
                  <w:checkBox>
                    <w:sizeAuto/>
                    <w:default w:val="0"/>
                  </w:checkBox>
                </w:ffData>
              </w:fldChar>
            </w:r>
            <w:bookmarkStart w:id="5" w:name="Kontrollkästchen90"/>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bookmarkEnd w:id="5"/>
          </w:p>
        </w:tc>
        <w:tc>
          <w:tcPr>
            <w:tcW w:w="3531" w:type="dxa"/>
          </w:tcPr>
          <w:p w:rsidR="00ED661A" w:rsidRPr="004B7B3A" w:rsidRDefault="00020130" w:rsidP="00677777">
            <w:pPr>
              <w:rPr>
                <w:rFonts w:cs="Arial"/>
                <w:szCs w:val="22"/>
              </w:rPr>
            </w:pPr>
            <w:r w:rsidRPr="004B7B3A">
              <w:rPr>
                <w:rFonts w:cs="Arial"/>
                <w:szCs w:val="22"/>
              </w:rPr>
              <w:t>Mobiles Schiffsreinigungsgerät</w:t>
            </w:r>
          </w:p>
        </w:tc>
        <w:tc>
          <w:tcPr>
            <w:tcW w:w="438" w:type="dxa"/>
          </w:tcPr>
          <w:p w:rsidR="00ED661A" w:rsidRPr="004B7B3A" w:rsidRDefault="00ED661A" w:rsidP="00677777">
            <w:pPr>
              <w:rPr>
                <w:rFonts w:cs="Arial"/>
                <w:szCs w:val="22"/>
              </w:rPr>
            </w:pPr>
            <w:r w:rsidRPr="004B7B3A">
              <w:rPr>
                <w:rFonts w:cs="Arial"/>
                <w:szCs w:val="22"/>
              </w:rPr>
              <w:fldChar w:fldCharType="begin">
                <w:ffData>
                  <w:name w:val="Kontrollkästchen79"/>
                  <w:enabled/>
                  <w:calcOnExit w:val="0"/>
                  <w:checkBox>
                    <w:sizeAuto/>
                    <w:default w:val="0"/>
                  </w:checkBox>
                </w:ffData>
              </w:fldChar>
            </w:r>
            <w:bookmarkStart w:id="6" w:name="Kontrollkästchen79"/>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bookmarkEnd w:id="6"/>
          </w:p>
        </w:tc>
      </w:tr>
      <w:tr w:rsidR="00020130" w:rsidRPr="004B7B3A" w:rsidTr="00020130">
        <w:tc>
          <w:tcPr>
            <w:tcW w:w="3572" w:type="dxa"/>
          </w:tcPr>
          <w:p w:rsidR="00ED661A" w:rsidRPr="004B7B3A" w:rsidRDefault="00020130" w:rsidP="00677777">
            <w:pPr>
              <w:rPr>
                <w:rFonts w:cs="Arial"/>
                <w:szCs w:val="22"/>
              </w:rPr>
            </w:pPr>
            <w:r w:rsidRPr="004B7B3A">
              <w:rPr>
                <w:rFonts w:cs="Arial"/>
                <w:szCs w:val="22"/>
              </w:rPr>
              <w:t>Elektrisches Verfahren mit speziellem Beschichtungsaufbau</w:t>
            </w:r>
          </w:p>
        </w:tc>
        <w:tc>
          <w:tcPr>
            <w:tcW w:w="709" w:type="dxa"/>
          </w:tcPr>
          <w:p w:rsidR="00ED661A" w:rsidRPr="004B7B3A" w:rsidRDefault="00ED661A" w:rsidP="00677777">
            <w:pPr>
              <w:rPr>
                <w:rFonts w:cs="Arial"/>
                <w:szCs w:val="22"/>
              </w:rPr>
            </w:pPr>
            <w:r w:rsidRPr="004B7B3A">
              <w:rPr>
                <w:rFonts w:cs="Arial"/>
                <w:szCs w:val="22"/>
              </w:rPr>
              <w:fldChar w:fldCharType="begin">
                <w:ffData>
                  <w:name w:val="Kontrollkästchen90"/>
                  <w:enabled/>
                  <w:calcOnExit w:val="0"/>
                  <w:checkBox>
                    <w:sizeAuto/>
                    <w:default w:val="0"/>
                  </w:checkBox>
                </w:ffData>
              </w:fldChar>
            </w:r>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p>
        </w:tc>
        <w:tc>
          <w:tcPr>
            <w:tcW w:w="3531" w:type="dxa"/>
          </w:tcPr>
          <w:p w:rsidR="00ED661A" w:rsidRPr="004B7B3A" w:rsidRDefault="00020130" w:rsidP="00677777">
            <w:pPr>
              <w:rPr>
                <w:rFonts w:cs="Arial"/>
                <w:szCs w:val="22"/>
              </w:rPr>
            </w:pPr>
            <w:r w:rsidRPr="004B7B3A">
              <w:rPr>
                <w:rFonts w:cs="Arial"/>
                <w:szCs w:val="22"/>
              </w:rPr>
              <w:t>Stationäre Schiffsreinigungsanlage</w:t>
            </w:r>
          </w:p>
        </w:tc>
        <w:tc>
          <w:tcPr>
            <w:tcW w:w="438" w:type="dxa"/>
          </w:tcPr>
          <w:p w:rsidR="00ED661A" w:rsidRPr="004B7B3A" w:rsidRDefault="00020130" w:rsidP="00677777">
            <w:pPr>
              <w:rPr>
                <w:rFonts w:cs="Arial"/>
                <w:szCs w:val="22"/>
              </w:rPr>
            </w:pPr>
            <w:r w:rsidRPr="004B7B3A">
              <w:rPr>
                <w:rFonts w:cs="Arial"/>
                <w:szCs w:val="22"/>
              </w:rPr>
              <w:fldChar w:fldCharType="begin">
                <w:ffData>
                  <w:name w:val="Kontrollkästchen90"/>
                  <w:enabled/>
                  <w:calcOnExit w:val="0"/>
                  <w:checkBox>
                    <w:sizeAuto/>
                    <w:default w:val="0"/>
                  </w:checkBox>
                </w:ffData>
              </w:fldChar>
            </w:r>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p>
        </w:tc>
      </w:tr>
      <w:tr w:rsidR="00020130" w:rsidRPr="004B7B3A" w:rsidTr="00020130">
        <w:tc>
          <w:tcPr>
            <w:tcW w:w="3572" w:type="dxa"/>
          </w:tcPr>
          <w:p w:rsidR="00020130" w:rsidRPr="004B7B3A" w:rsidRDefault="00020130" w:rsidP="00677777">
            <w:pPr>
              <w:rPr>
                <w:rFonts w:cs="Arial"/>
                <w:szCs w:val="22"/>
              </w:rPr>
            </w:pPr>
            <w:r w:rsidRPr="004B7B3A">
              <w:rPr>
                <w:rFonts w:cs="Arial"/>
                <w:szCs w:val="22"/>
              </w:rPr>
              <w:t>Unterwasserplane</w:t>
            </w:r>
          </w:p>
        </w:tc>
        <w:tc>
          <w:tcPr>
            <w:tcW w:w="709" w:type="dxa"/>
          </w:tcPr>
          <w:p w:rsidR="00020130" w:rsidRPr="004B7B3A" w:rsidRDefault="00020130" w:rsidP="00677777">
            <w:pPr>
              <w:rPr>
                <w:rFonts w:cs="Arial"/>
                <w:szCs w:val="22"/>
              </w:rPr>
            </w:pPr>
            <w:r w:rsidRPr="004B7B3A">
              <w:rPr>
                <w:rFonts w:cs="Arial"/>
                <w:szCs w:val="22"/>
              </w:rPr>
              <w:fldChar w:fldCharType="begin">
                <w:ffData>
                  <w:name w:val="Kontrollkästchen90"/>
                  <w:enabled/>
                  <w:calcOnExit w:val="0"/>
                  <w:checkBox>
                    <w:sizeAuto/>
                    <w:default w:val="0"/>
                  </w:checkBox>
                </w:ffData>
              </w:fldChar>
            </w:r>
            <w:r w:rsidRPr="004B7B3A">
              <w:rPr>
                <w:rFonts w:cs="Arial"/>
                <w:szCs w:val="22"/>
              </w:rPr>
              <w:instrText xml:space="preserve"> FORMCHECKBOX </w:instrText>
            </w:r>
            <w:r w:rsidR="009670C1">
              <w:rPr>
                <w:rFonts w:cs="Arial"/>
                <w:szCs w:val="22"/>
              </w:rPr>
            </w:r>
            <w:r w:rsidR="009670C1">
              <w:rPr>
                <w:rFonts w:cs="Arial"/>
                <w:szCs w:val="22"/>
              </w:rPr>
              <w:fldChar w:fldCharType="separate"/>
            </w:r>
            <w:r w:rsidRPr="004B7B3A">
              <w:rPr>
                <w:rFonts w:cs="Arial"/>
                <w:szCs w:val="22"/>
              </w:rPr>
              <w:fldChar w:fldCharType="end"/>
            </w:r>
          </w:p>
        </w:tc>
        <w:tc>
          <w:tcPr>
            <w:tcW w:w="3531" w:type="dxa"/>
          </w:tcPr>
          <w:p w:rsidR="00020130" w:rsidRPr="004B7B3A" w:rsidRDefault="00020130" w:rsidP="00677777">
            <w:pPr>
              <w:rPr>
                <w:rFonts w:cs="Arial"/>
                <w:szCs w:val="22"/>
              </w:rPr>
            </w:pPr>
          </w:p>
        </w:tc>
        <w:tc>
          <w:tcPr>
            <w:tcW w:w="438" w:type="dxa"/>
          </w:tcPr>
          <w:p w:rsidR="00020130" w:rsidRPr="004B7B3A" w:rsidRDefault="00020130" w:rsidP="00677777">
            <w:pPr>
              <w:rPr>
                <w:rFonts w:cs="Arial"/>
                <w:szCs w:val="22"/>
              </w:rPr>
            </w:pPr>
          </w:p>
        </w:tc>
      </w:tr>
    </w:tbl>
    <w:p w:rsidR="00ED661A" w:rsidRPr="004B7B3A" w:rsidRDefault="00ED661A" w:rsidP="000343BE">
      <w:pPr>
        <w:tabs>
          <w:tab w:val="left" w:pos="3119"/>
          <w:tab w:val="left" w:pos="5387"/>
        </w:tabs>
        <w:jc w:val="both"/>
        <w:rPr>
          <w:rFonts w:cs="Arial"/>
          <w:szCs w:val="22"/>
        </w:rPr>
      </w:pPr>
    </w:p>
    <w:p w:rsidR="000343BE" w:rsidRPr="004B7B3A" w:rsidRDefault="000343BE" w:rsidP="000343BE">
      <w:pPr>
        <w:tabs>
          <w:tab w:val="left" w:pos="5387"/>
        </w:tabs>
        <w:jc w:val="both"/>
        <w:rPr>
          <w:rFonts w:cs="Arial"/>
          <w:szCs w:val="22"/>
        </w:rPr>
      </w:pPr>
    </w:p>
    <w:p w:rsidR="00A65824" w:rsidRDefault="00A65824" w:rsidP="000343BE">
      <w:pPr>
        <w:jc w:val="both"/>
        <w:rPr>
          <w:rFonts w:cs="Arial"/>
          <w:b/>
          <w:szCs w:val="22"/>
          <w:u w:val="single"/>
        </w:rPr>
      </w:pPr>
    </w:p>
    <w:p w:rsidR="000343BE" w:rsidRPr="004B7B3A" w:rsidRDefault="000343BE" w:rsidP="000343BE">
      <w:pPr>
        <w:jc w:val="both"/>
        <w:rPr>
          <w:rFonts w:cs="Arial"/>
          <w:b/>
          <w:szCs w:val="22"/>
          <w:u w:val="single"/>
        </w:rPr>
      </w:pPr>
      <w:r w:rsidRPr="004B7B3A">
        <w:rPr>
          <w:rFonts w:cs="Arial"/>
          <w:b/>
          <w:szCs w:val="22"/>
          <w:u w:val="single"/>
        </w:rPr>
        <w:lastRenderedPageBreak/>
        <w:t>Erklärungen des Antragstellers</w:t>
      </w:r>
    </w:p>
    <w:p w:rsidR="000343BE" w:rsidRPr="004B7B3A" w:rsidRDefault="000343BE" w:rsidP="000343BE">
      <w:pPr>
        <w:jc w:val="both"/>
        <w:rPr>
          <w:rFonts w:cs="Arial"/>
          <w:szCs w:val="22"/>
        </w:rPr>
      </w:pPr>
    </w:p>
    <w:p w:rsidR="000343BE" w:rsidRPr="004B7B3A" w:rsidRDefault="00374D34" w:rsidP="000343BE">
      <w:pPr>
        <w:jc w:val="both"/>
        <w:rPr>
          <w:rFonts w:cs="Arial"/>
          <w:szCs w:val="22"/>
        </w:rPr>
      </w:pPr>
      <w:r w:rsidRPr="004B7B3A">
        <w:rPr>
          <w:rFonts w:cs="Arial"/>
          <w:szCs w:val="22"/>
        </w:rPr>
        <w:t>Hiermit erklären wir die Einhaltung folgender Anforderungen</w:t>
      </w:r>
      <w:r w:rsidR="00545E48" w:rsidRPr="004B7B3A">
        <w:rPr>
          <w:rFonts w:cs="Arial"/>
          <w:szCs w:val="22"/>
        </w:rPr>
        <w:t xml:space="preserve">                    </w:t>
      </w:r>
      <w:bookmarkStart w:id="7" w:name="_GoBack"/>
      <w:r w:rsidR="00545E48" w:rsidRPr="004B7B3A">
        <w:rPr>
          <w:rFonts w:cs="Arial"/>
          <w:szCs w:val="22"/>
        </w:rPr>
        <w:fldChar w:fldCharType="begin">
          <w:ffData>
            <w:name w:val="Kontrollkästchen79"/>
            <w:enabled/>
            <w:calcOnExit w:val="0"/>
            <w:checkBox>
              <w:sizeAuto/>
              <w:default w:val="0"/>
              <w:checked w:val="0"/>
            </w:checkBox>
          </w:ffData>
        </w:fldChar>
      </w:r>
      <w:r w:rsidR="00545E48" w:rsidRPr="004B7B3A">
        <w:rPr>
          <w:rFonts w:cs="Arial"/>
          <w:szCs w:val="22"/>
        </w:rPr>
        <w:instrText xml:space="preserve"> FORMCHECKBOX </w:instrText>
      </w:r>
      <w:r w:rsidR="009670C1" w:rsidRPr="004B7B3A">
        <w:rPr>
          <w:rFonts w:cs="Arial"/>
          <w:szCs w:val="22"/>
        </w:rPr>
      </w:r>
      <w:r w:rsidR="009670C1">
        <w:rPr>
          <w:rFonts w:cs="Arial"/>
          <w:szCs w:val="22"/>
        </w:rPr>
        <w:fldChar w:fldCharType="separate"/>
      </w:r>
      <w:r w:rsidR="00545E48" w:rsidRPr="004B7B3A">
        <w:rPr>
          <w:rFonts w:cs="Arial"/>
          <w:szCs w:val="22"/>
        </w:rPr>
        <w:fldChar w:fldCharType="end"/>
      </w:r>
      <w:bookmarkEnd w:id="7"/>
    </w:p>
    <w:p w:rsidR="00374D34" w:rsidRPr="004B7B3A" w:rsidRDefault="00374D34" w:rsidP="000343BE">
      <w:pPr>
        <w:jc w:val="both"/>
        <w:rPr>
          <w:rFonts w:cs="Arial"/>
          <w:szCs w:val="22"/>
        </w:rPr>
      </w:pPr>
    </w:p>
    <w:tbl>
      <w:tblPr>
        <w:tblStyle w:val="Tabellenraster"/>
        <w:tblW w:w="14596" w:type="dxa"/>
        <w:tblCellMar>
          <w:top w:w="28" w:type="dxa"/>
        </w:tblCellMar>
        <w:tblLook w:val="04A0" w:firstRow="1" w:lastRow="0" w:firstColumn="1" w:lastColumn="0" w:noHBand="0" w:noVBand="1"/>
      </w:tblPr>
      <w:tblGrid>
        <w:gridCol w:w="1139"/>
        <w:gridCol w:w="3676"/>
        <w:gridCol w:w="9781"/>
      </w:tblGrid>
      <w:tr w:rsidR="00804FA5" w:rsidRPr="002734B9" w:rsidTr="00101D4D">
        <w:trPr>
          <w:trHeight w:val="283"/>
        </w:trPr>
        <w:tc>
          <w:tcPr>
            <w:tcW w:w="1139" w:type="dxa"/>
            <w:shd w:val="clear" w:color="auto" w:fill="D9D9D9" w:themeFill="background1" w:themeFillShade="D9"/>
            <w:vAlign w:val="center"/>
          </w:tcPr>
          <w:p w:rsidR="00804FA5" w:rsidRPr="002734B9" w:rsidRDefault="00804FA5" w:rsidP="002734B9">
            <w:pPr>
              <w:spacing w:line="276" w:lineRule="auto"/>
              <w:jc w:val="center"/>
              <w:rPr>
                <w:rFonts w:cs="Arial"/>
                <w:b/>
                <w:sz w:val="20"/>
              </w:rPr>
            </w:pPr>
            <w:r w:rsidRPr="002734B9">
              <w:rPr>
                <w:rFonts w:cs="Arial"/>
                <w:b/>
                <w:sz w:val="20"/>
              </w:rPr>
              <w:t>Abschnitt</w:t>
            </w:r>
          </w:p>
        </w:tc>
        <w:tc>
          <w:tcPr>
            <w:tcW w:w="3676" w:type="dxa"/>
            <w:shd w:val="clear" w:color="auto" w:fill="D9D9D9" w:themeFill="background1" w:themeFillShade="D9"/>
            <w:vAlign w:val="center"/>
          </w:tcPr>
          <w:p w:rsidR="00804FA5" w:rsidRPr="002734B9" w:rsidRDefault="00804FA5" w:rsidP="002734B9">
            <w:pPr>
              <w:spacing w:line="276" w:lineRule="auto"/>
              <w:jc w:val="center"/>
              <w:rPr>
                <w:rFonts w:cs="Arial"/>
                <w:b/>
                <w:sz w:val="20"/>
              </w:rPr>
            </w:pPr>
            <w:r w:rsidRPr="002734B9">
              <w:rPr>
                <w:rFonts w:cs="Arial"/>
                <w:b/>
                <w:sz w:val="20"/>
              </w:rPr>
              <w:t>Gilt für</w:t>
            </w:r>
          </w:p>
        </w:tc>
        <w:tc>
          <w:tcPr>
            <w:tcW w:w="9781" w:type="dxa"/>
            <w:shd w:val="clear" w:color="auto" w:fill="D9D9D9" w:themeFill="background1" w:themeFillShade="D9"/>
            <w:vAlign w:val="center"/>
          </w:tcPr>
          <w:p w:rsidR="00804FA5" w:rsidRPr="002734B9" w:rsidRDefault="00804FA5" w:rsidP="002734B9">
            <w:pPr>
              <w:spacing w:line="276" w:lineRule="auto"/>
              <w:jc w:val="center"/>
              <w:rPr>
                <w:rFonts w:cs="Arial"/>
                <w:b/>
                <w:sz w:val="20"/>
                <w:highlight w:val="yellow"/>
              </w:rPr>
            </w:pPr>
            <w:r w:rsidRPr="002734B9">
              <w:rPr>
                <w:rFonts w:cs="Arial"/>
                <w:b/>
                <w:sz w:val="20"/>
              </w:rPr>
              <w:t>Anforderung</w:t>
            </w:r>
          </w:p>
        </w:tc>
      </w:tr>
      <w:tr w:rsidR="002734B9" w:rsidRPr="002734B9" w:rsidTr="001F48BE">
        <w:trPr>
          <w:trHeight w:val="283"/>
        </w:trPr>
        <w:tc>
          <w:tcPr>
            <w:tcW w:w="1139" w:type="dxa"/>
            <w:shd w:val="clear" w:color="auto" w:fill="F2F2F2" w:themeFill="background1" w:themeFillShade="F2"/>
          </w:tcPr>
          <w:p w:rsidR="002734B9" w:rsidRPr="002734B9" w:rsidRDefault="002734B9" w:rsidP="00EA1340">
            <w:pPr>
              <w:spacing w:line="276" w:lineRule="auto"/>
              <w:jc w:val="both"/>
              <w:rPr>
                <w:rFonts w:cs="Arial"/>
                <w:b/>
                <w:sz w:val="20"/>
              </w:rPr>
            </w:pPr>
            <w:r w:rsidRPr="002734B9">
              <w:rPr>
                <w:rFonts w:cs="Arial"/>
                <w:b/>
                <w:sz w:val="20"/>
              </w:rPr>
              <w:t>3.1.1</w:t>
            </w:r>
          </w:p>
        </w:tc>
        <w:tc>
          <w:tcPr>
            <w:tcW w:w="13457" w:type="dxa"/>
            <w:gridSpan w:val="2"/>
            <w:shd w:val="clear" w:color="auto" w:fill="F2F2F2" w:themeFill="background1" w:themeFillShade="F2"/>
          </w:tcPr>
          <w:p w:rsidR="002734B9" w:rsidRPr="002734B9" w:rsidRDefault="002734B9" w:rsidP="00EA1340">
            <w:pPr>
              <w:spacing w:line="276" w:lineRule="auto"/>
              <w:rPr>
                <w:rFonts w:cs="Arial"/>
                <w:b/>
                <w:sz w:val="20"/>
              </w:rPr>
            </w:pPr>
            <w:r w:rsidRPr="002734B9">
              <w:rPr>
                <w:rFonts w:cs="Arial"/>
                <w:b/>
                <w:sz w:val="20"/>
              </w:rPr>
              <w:t>Allgemein</w:t>
            </w:r>
            <w:r w:rsidR="00101D4D">
              <w:rPr>
                <w:rFonts w:cs="Arial"/>
                <w:b/>
                <w:sz w:val="20"/>
              </w:rPr>
              <w:t>e</w:t>
            </w:r>
            <w:r w:rsidRPr="002734B9">
              <w:rPr>
                <w:rFonts w:cs="Arial"/>
                <w:b/>
                <w:sz w:val="20"/>
              </w:rPr>
              <w:t xml:space="preserve"> Anforderungen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sz w:val="20"/>
              </w:rPr>
            </w:pPr>
          </w:p>
        </w:tc>
        <w:tc>
          <w:tcPr>
            <w:tcW w:w="3676" w:type="dxa"/>
          </w:tcPr>
          <w:p w:rsidR="00804FA5" w:rsidRPr="002734B9" w:rsidRDefault="00804FA5" w:rsidP="00EA1340">
            <w:pPr>
              <w:spacing w:line="276" w:lineRule="auto"/>
              <w:rPr>
                <w:rFonts w:cs="Arial"/>
                <w:sz w:val="20"/>
              </w:rPr>
            </w:pPr>
            <w:r w:rsidRPr="002734B9">
              <w:rPr>
                <w:rFonts w:cs="Arial"/>
                <w:sz w:val="20"/>
              </w:rPr>
              <w:t>ALLE</w:t>
            </w:r>
          </w:p>
        </w:tc>
        <w:tc>
          <w:tcPr>
            <w:tcW w:w="9781" w:type="dxa"/>
          </w:tcPr>
          <w:p w:rsidR="004F5CCD" w:rsidRPr="0051049E" w:rsidRDefault="004F5CCD" w:rsidP="004F5CCD">
            <w:pPr>
              <w:rPr>
                <w:rFonts w:cs="Arial"/>
                <w:sz w:val="20"/>
              </w:rPr>
            </w:pPr>
            <w:r w:rsidRPr="0051049E">
              <w:rPr>
                <w:rFonts w:cs="Arial"/>
                <w:sz w:val="20"/>
              </w:rPr>
              <w:t>Das gebrauchsfertige Produkt und die Vorprodukte dürfen keine Stoffe mit folgenden Eigenschaften in einer Konzentration über 0,1 Gew.-% (m/m) enthalten:</w:t>
            </w:r>
          </w:p>
          <w:p w:rsidR="004F5CCD" w:rsidRPr="0051049E" w:rsidRDefault="004F5CCD" w:rsidP="004F5CCD">
            <w:pPr>
              <w:rPr>
                <w:rFonts w:cs="Arial"/>
                <w:sz w:val="20"/>
              </w:rPr>
            </w:pPr>
          </w:p>
          <w:p w:rsidR="004F5CCD" w:rsidRPr="0051049E" w:rsidRDefault="004F5CCD" w:rsidP="004F5CCD">
            <w:pPr>
              <w:rPr>
                <w:rFonts w:cs="Arial"/>
                <w:sz w:val="20"/>
              </w:rPr>
            </w:pPr>
            <w:r w:rsidRPr="0051049E">
              <w:rPr>
                <w:rFonts w:cs="Arial"/>
                <w:sz w:val="20"/>
              </w:rPr>
              <w:t>1. Stoffe, die unter der REACH-VO als besonders besorgniserregend identifiziert und in die gemäß REACH Artikel 59 Absatz 1 erstellte Liste (sogenannte „Kandidatenliste“) aufgenommen wurden.</w:t>
            </w:r>
            <w:r w:rsidRPr="0051049E">
              <w:rPr>
                <w:rStyle w:val="Funotenzeichen"/>
                <w:rFonts w:cs="Arial"/>
                <w:sz w:val="20"/>
              </w:rPr>
              <w:footnoteReference w:id="1"/>
            </w:r>
          </w:p>
          <w:p w:rsidR="004F5CCD" w:rsidRPr="0051049E" w:rsidRDefault="004F5CCD" w:rsidP="004F5CCD">
            <w:pPr>
              <w:rPr>
                <w:rFonts w:cs="Arial"/>
                <w:sz w:val="20"/>
              </w:rPr>
            </w:pPr>
          </w:p>
          <w:p w:rsidR="004F5CCD" w:rsidRPr="0051049E" w:rsidRDefault="004F5CCD" w:rsidP="004F5CCD">
            <w:pPr>
              <w:rPr>
                <w:rFonts w:cs="Arial"/>
                <w:sz w:val="20"/>
              </w:rPr>
            </w:pPr>
            <w:r w:rsidRPr="0051049E">
              <w:rPr>
                <w:rFonts w:cs="Arial"/>
                <w:sz w:val="20"/>
              </w:rPr>
              <w:t>2. Stoffe, die gemäß der CLP-Verordnung in die folgenden Gefahrenkategorien eingestuft sind oder die Kriterien für eine solche Einstufung</w:t>
            </w:r>
            <w:r w:rsidRPr="0051049E">
              <w:rPr>
                <w:rStyle w:val="Funotenzeichen"/>
                <w:rFonts w:cs="Arial"/>
                <w:sz w:val="20"/>
              </w:rPr>
              <w:footnoteReference w:id="2"/>
            </w:r>
            <w:r w:rsidRPr="0051049E">
              <w:rPr>
                <w:rFonts w:cs="Arial"/>
                <w:sz w:val="20"/>
              </w:rPr>
              <w:t xml:space="preserve"> erfüllen: </w:t>
            </w:r>
          </w:p>
          <w:p w:rsidR="004F5CCD" w:rsidRPr="0051049E" w:rsidRDefault="004F5CCD" w:rsidP="004F5CCD">
            <w:pPr>
              <w:pStyle w:val="AufzhlungPunkt1"/>
              <w:rPr>
                <w:rFonts w:ascii="Arial" w:hAnsi="Arial" w:cs="Arial"/>
              </w:rPr>
            </w:pPr>
            <w:r w:rsidRPr="0051049E">
              <w:rPr>
                <w:rFonts w:ascii="Arial" w:hAnsi="Arial" w:cs="Arial"/>
              </w:rPr>
              <w:t xml:space="preserve">karzinogen (krebserzeugend) der Kategorie Carc. 1A oder Carc. 1B oder Carc. 2 </w:t>
            </w:r>
          </w:p>
          <w:p w:rsidR="004F5CCD" w:rsidRPr="0051049E" w:rsidRDefault="004F5CCD" w:rsidP="004F5CCD">
            <w:pPr>
              <w:pStyle w:val="AufzhlungPunkt1"/>
              <w:rPr>
                <w:rFonts w:ascii="Arial" w:hAnsi="Arial" w:cs="Arial"/>
              </w:rPr>
            </w:pPr>
            <w:r w:rsidRPr="0051049E">
              <w:rPr>
                <w:rFonts w:ascii="Arial" w:hAnsi="Arial" w:cs="Arial"/>
              </w:rPr>
              <w:t xml:space="preserve">keimzellmutagen (erbgutverändernd) der Kategorie Muta. 1A oder Muta. 1B oder Muta. 2; </w:t>
            </w:r>
          </w:p>
          <w:p w:rsidR="004F5CCD" w:rsidRPr="0051049E" w:rsidRDefault="004F5CCD" w:rsidP="004F5CCD">
            <w:pPr>
              <w:pStyle w:val="AufzhlungPunkt1"/>
              <w:rPr>
                <w:rFonts w:ascii="Arial" w:hAnsi="Arial" w:cs="Arial"/>
              </w:rPr>
            </w:pPr>
            <w:r w:rsidRPr="0051049E">
              <w:rPr>
                <w:rFonts w:ascii="Arial" w:hAnsi="Arial" w:cs="Arial"/>
              </w:rPr>
              <w:t xml:space="preserve">reproduktionstoxisch (fortpflanzungsgefährdend) der Kategorie Repr. 1A oder Repr. 1B oder Repro. 2; </w:t>
            </w:r>
          </w:p>
          <w:p w:rsidR="004F5CCD" w:rsidRPr="0051049E" w:rsidRDefault="004F5CCD" w:rsidP="004F5CCD">
            <w:pPr>
              <w:pStyle w:val="AufzhlungPunkt1"/>
              <w:rPr>
                <w:rFonts w:ascii="Arial" w:hAnsi="Arial" w:cs="Arial"/>
              </w:rPr>
            </w:pPr>
            <w:r w:rsidRPr="0051049E">
              <w:rPr>
                <w:rFonts w:ascii="Arial" w:hAnsi="Arial" w:cs="Arial"/>
              </w:rPr>
              <w:t>akut toxisch (giftig) der Kategorie Acute Tox. 1 oder Acute Tox. 2 oder Acute Tox. 3</w:t>
            </w:r>
          </w:p>
          <w:p w:rsidR="004F5CCD" w:rsidRPr="0051049E" w:rsidRDefault="004F5CCD" w:rsidP="004F5CCD">
            <w:pPr>
              <w:pStyle w:val="AufzhlungPunkt1"/>
              <w:rPr>
                <w:rFonts w:ascii="Arial" w:hAnsi="Arial" w:cs="Arial"/>
              </w:rPr>
            </w:pPr>
            <w:r w:rsidRPr="0051049E">
              <w:rPr>
                <w:rFonts w:ascii="Arial" w:hAnsi="Arial" w:cs="Arial"/>
              </w:rPr>
              <w:t>die Ozonschicht schädigend der Kategorie Ozone 1.</w:t>
            </w:r>
          </w:p>
          <w:p w:rsidR="004F5CCD" w:rsidRPr="0051049E" w:rsidRDefault="004F5CCD" w:rsidP="004F5CCD">
            <w:pPr>
              <w:rPr>
                <w:rFonts w:cs="Arial"/>
                <w:sz w:val="20"/>
              </w:rPr>
            </w:pPr>
            <w:r w:rsidRPr="0051049E">
              <w:rPr>
                <w:rFonts w:cs="Arial"/>
                <w:sz w:val="20"/>
              </w:rPr>
              <w:t xml:space="preserve">Die den Gefahrenkategorien entsprechenden Gefahrenhinweise (H-Sätze) sind </w:t>
            </w:r>
            <w:r w:rsidR="0051049E">
              <w:rPr>
                <w:rFonts w:cs="Arial"/>
                <w:sz w:val="20"/>
              </w:rPr>
              <w:t>Anhang E</w:t>
            </w:r>
          </w:p>
          <w:p w:rsidR="004F5CCD" w:rsidRPr="0051049E" w:rsidRDefault="004F5CCD" w:rsidP="004F5CCD">
            <w:pPr>
              <w:rPr>
                <w:rFonts w:cs="Arial"/>
                <w:sz w:val="20"/>
              </w:rPr>
            </w:pPr>
            <w:r w:rsidRPr="0051049E">
              <w:rPr>
                <w:rFonts w:cs="Arial"/>
                <w:sz w:val="20"/>
              </w:rPr>
              <w:t>zu entnehmen.</w:t>
            </w:r>
          </w:p>
          <w:p w:rsidR="004F5CCD" w:rsidRPr="0051049E" w:rsidRDefault="004F5CCD" w:rsidP="004F5CCD">
            <w:pPr>
              <w:rPr>
                <w:rFonts w:cs="Arial"/>
                <w:sz w:val="20"/>
              </w:rPr>
            </w:pPr>
          </w:p>
          <w:p w:rsidR="004F5CCD" w:rsidRPr="0051049E" w:rsidRDefault="004F5CCD" w:rsidP="004F5CCD">
            <w:pPr>
              <w:rPr>
                <w:rFonts w:cs="Arial"/>
                <w:sz w:val="20"/>
              </w:rPr>
            </w:pPr>
            <w:r w:rsidRPr="0051049E">
              <w:rPr>
                <w:rFonts w:cs="Arial"/>
                <w:sz w:val="20"/>
              </w:rPr>
              <w:t xml:space="preserve">3. Stoffe, die in der TRGS 905 eingestuft sind als: </w:t>
            </w:r>
          </w:p>
          <w:p w:rsidR="004F5CCD" w:rsidRPr="0051049E" w:rsidRDefault="004F5CCD" w:rsidP="004F5CCD">
            <w:pPr>
              <w:pStyle w:val="AufzhlungPunkt1"/>
              <w:rPr>
                <w:rFonts w:ascii="Arial" w:hAnsi="Arial" w:cs="Arial"/>
              </w:rPr>
            </w:pPr>
            <w:r w:rsidRPr="0051049E">
              <w:rPr>
                <w:rFonts w:ascii="Arial" w:hAnsi="Arial" w:cs="Arial"/>
              </w:rPr>
              <w:t>krebserzeugend (K1A, K1B, K2)</w:t>
            </w:r>
          </w:p>
          <w:p w:rsidR="004F5CCD" w:rsidRPr="0051049E" w:rsidRDefault="004F5CCD" w:rsidP="004F5CCD">
            <w:pPr>
              <w:pStyle w:val="AufzhlungPunkt1"/>
              <w:rPr>
                <w:rFonts w:ascii="Arial" w:hAnsi="Arial" w:cs="Arial"/>
              </w:rPr>
            </w:pPr>
            <w:r w:rsidRPr="0051049E">
              <w:rPr>
                <w:rFonts w:ascii="Arial" w:hAnsi="Arial" w:cs="Arial"/>
              </w:rPr>
              <w:t>keimzellmutagen / erbgutverändernd (M1A, M1B, M2)</w:t>
            </w:r>
          </w:p>
          <w:p w:rsidR="004F5CCD" w:rsidRPr="0051049E" w:rsidRDefault="004F5CCD" w:rsidP="004F5CCD">
            <w:pPr>
              <w:pStyle w:val="AufzhlungPunkt1"/>
              <w:rPr>
                <w:rFonts w:ascii="Arial" w:hAnsi="Arial" w:cs="Arial"/>
              </w:rPr>
            </w:pPr>
            <w:r w:rsidRPr="0051049E">
              <w:rPr>
                <w:rFonts w:ascii="Arial" w:hAnsi="Arial" w:cs="Arial"/>
              </w:rPr>
              <w:t>reproduktionstoxisch / fortpflanzungsgefährdend (RF1A, RF1B, RF2)</w:t>
            </w:r>
          </w:p>
          <w:p w:rsidR="009166C6" w:rsidRDefault="004F5CCD" w:rsidP="004F5CCD">
            <w:pPr>
              <w:pStyle w:val="AufzhlungPunkt1"/>
              <w:rPr>
                <w:rFonts w:ascii="Arial" w:hAnsi="Arial" w:cs="Arial"/>
              </w:rPr>
            </w:pPr>
            <w:r w:rsidRPr="004F5CCD">
              <w:rPr>
                <w:rFonts w:ascii="Arial" w:hAnsi="Arial" w:cs="Arial"/>
              </w:rPr>
              <w:t>reproduktionstoxisch / fruchtschädigend (RD1A, RD1B, RD2)</w:t>
            </w:r>
          </w:p>
          <w:p w:rsidR="00A6720D" w:rsidRPr="004F5CCD" w:rsidRDefault="00A6720D" w:rsidP="00A6720D">
            <w:pPr>
              <w:pStyle w:val="AufzhlungPunkt1"/>
              <w:numPr>
                <w:ilvl w:val="0"/>
                <w:numId w:val="0"/>
              </w:numPr>
              <w:rPr>
                <w:rFonts w:ascii="Arial" w:hAnsi="Arial" w:cs="Arial"/>
              </w:rPr>
            </w:pPr>
          </w:p>
        </w:tc>
      </w:tr>
      <w:tr w:rsidR="002734B9" w:rsidRPr="002734B9" w:rsidTr="001F48BE">
        <w:trPr>
          <w:trHeight w:val="283"/>
        </w:trPr>
        <w:tc>
          <w:tcPr>
            <w:tcW w:w="1139" w:type="dxa"/>
            <w:shd w:val="clear" w:color="auto" w:fill="F2F2F2" w:themeFill="background1" w:themeFillShade="F2"/>
          </w:tcPr>
          <w:p w:rsidR="002734B9" w:rsidRPr="002734B9" w:rsidRDefault="002734B9" w:rsidP="00EA1340">
            <w:pPr>
              <w:spacing w:line="276" w:lineRule="auto"/>
              <w:jc w:val="both"/>
              <w:rPr>
                <w:rFonts w:cs="Arial"/>
                <w:b/>
                <w:sz w:val="20"/>
              </w:rPr>
            </w:pPr>
            <w:r w:rsidRPr="002734B9">
              <w:rPr>
                <w:rFonts w:cs="Arial"/>
                <w:b/>
                <w:sz w:val="20"/>
              </w:rPr>
              <w:lastRenderedPageBreak/>
              <w:t>3.1.2</w:t>
            </w:r>
          </w:p>
        </w:tc>
        <w:tc>
          <w:tcPr>
            <w:tcW w:w="13457" w:type="dxa"/>
            <w:gridSpan w:val="2"/>
            <w:shd w:val="clear" w:color="auto" w:fill="F2F2F2" w:themeFill="background1" w:themeFillShade="F2"/>
          </w:tcPr>
          <w:p w:rsidR="002734B9" w:rsidRPr="002734B9" w:rsidRDefault="002734B9" w:rsidP="00EA1340">
            <w:pPr>
              <w:spacing w:line="276" w:lineRule="auto"/>
              <w:rPr>
                <w:rFonts w:cs="Arial"/>
                <w:b/>
                <w:sz w:val="20"/>
              </w:rPr>
            </w:pPr>
            <w:r w:rsidRPr="002734B9">
              <w:rPr>
                <w:rFonts w:cs="Arial"/>
                <w:b/>
                <w:sz w:val="20"/>
              </w:rPr>
              <w:t>Anforderungen zum Einsatz von Bioziden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2734B9" w:rsidRDefault="002734B9" w:rsidP="00EA1340">
            <w:pPr>
              <w:spacing w:line="276" w:lineRule="auto"/>
              <w:rPr>
                <w:rFonts w:cs="Arial"/>
                <w:sz w:val="20"/>
              </w:rPr>
            </w:pPr>
            <w:r w:rsidRPr="002734B9">
              <w:rPr>
                <w:rFonts w:cs="Arial"/>
                <w:sz w:val="20"/>
              </w:rPr>
              <w:t>Beschichtungen u. Klebefolien, Reinigungsfähige Hartbeschichtungen, Elektrische Verfahren mit spe</w:t>
            </w:r>
            <w:r w:rsidRPr="002734B9">
              <w:rPr>
                <w:rFonts w:cs="Arial"/>
                <w:sz w:val="20"/>
              </w:rPr>
              <w:softHyphen/>
              <w:t xml:space="preserve">ziellem Beschichtungsaufbau, </w:t>
            </w:r>
          </w:p>
          <w:p w:rsidR="002734B9" w:rsidRDefault="002734B9" w:rsidP="00EA1340">
            <w:pPr>
              <w:spacing w:line="276" w:lineRule="auto"/>
              <w:rPr>
                <w:rFonts w:cs="Arial"/>
                <w:sz w:val="20"/>
              </w:rPr>
            </w:pPr>
            <w:r w:rsidRPr="002734B9">
              <w:rPr>
                <w:rFonts w:cs="Arial"/>
                <w:sz w:val="20"/>
              </w:rPr>
              <w:t xml:space="preserve">Unterwasserplanen, </w:t>
            </w:r>
          </w:p>
          <w:p w:rsidR="002734B9" w:rsidRDefault="002734B9" w:rsidP="00EA1340">
            <w:pPr>
              <w:spacing w:line="276" w:lineRule="auto"/>
              <w:rPr>
                <w:rFonts w:cs="Arial"/>
                <w:sz w:val="20"/>
              </w:rPr>
            </w:pPr>
            <w:r w:rsidRPr="002734B9">
              <w:rPr>
                <w:rFonts w:cs="Arial"/>
                <w:sz w:val="20"/>
              </w:rPr>
              <w:t>Mobile Schiffsreinigungsgeräte</w:t>
            </w:r>
            <w:r>
              <w:rPr>
                <w:rFonts w:cs="Arial"/>
                <w:sz w:val="20"/>
              </w:rPr>
              <w:t xml:space="preserve">, </w:t>
            </w:r>
          </w:p>
          <w:p w:rsidR="00804FA5" w:rsidRPr="002734B9" w:rsidRDefault="002734B9" w:rsidP="00EA1340">
            <w:pPr>
              <w:spacing w:line="276" w:lineRule="auto"/>
              <w:rPr>
                <w:rFonts w:cs="Arial"/>
                <w:sz w:val="20"/>
              </w:rPr>
            </w:pPr>
            <w:r w:rsidRPr="002734B9">
              <w:rPr>
                <w:rFonts w:cs="Arial"/>
                <w:sz w:val="20"/>
              </w:rPr>
              <w:t>Stationäre Schiffsreinigungsanlagen</w:t>
            </w:r>
          </w:p>
        </w:tc>
        <w:tc>
          <w:tcPr>
            <w:tcW w:w="9781" w:type="dxa"/>
          </w:tcPr>
          <w:p w:rsidR="00804FA5" w:rsidRPr="002734B9" w:rsidRDefault="00804FA5" w:rsidP="00EA1340">
            <w:pPr>
              <w:spacing w:line="276" w:lineRule="auto"/>
              <w:rPr>
                <w:rFonts w:cs="Arial"/>
                <w:sz w:val="20"/>
              </w:rPr>
            </w:pPr>
            <w:r w:rsidRPr="002734B9">
              <w:rPr>
                <w:rFonts w:cs="Arial"/>
                <w:sz w:val="20"/>
              </w:rPr>
              <w:t xml:space="preserve">Der Einsatz von Bioziden gemäß Verordnung (EU) Nr. 528/2012 in den Produkten und Vorprodukten ist ausgeschlossen. Als Ausnahme dürfen Topfkonservierungsmittel (PA 6) in den Vorprodukten enthalten sein, wenn die Anforderungen an die Einstufung des Produktes in </w:t>
            </w:r>
            <w:r w:rsidRPr="002734B9">
              <w:rPr>
                <w:rFonts w:cs="Arial"/>
                <w:sz w:val="20"/>
              </w:rPr>
              <w:fldChar w:fldCharType="begin"/>
            </w:r>
            <w:r w:rsidRPr="002734B9">
              <w:rPr>
                <w:rFonts w:cs="Arial"/>
                <w:sz w:val="20"/>
              </w:rPr>
              <w:instrText xml:space="preserve"> REF _Ref84943712 \r \h  \* MERGEFORMAT </w:instrText>
            </w:r>
            <w:r w:rsidRPr="002734B9">
              <w:rPr>
                <w:rFonts w:cs="Arial"/>
                <w:sz w:val="20"/>
              </w:rPr>
            </w:r>
            <w:r w:rsidRPr="002734B9">
              <w:rPr>
                <w:rFonts w:cs="Arial"/>
                <w:sz w:val="20"/>
              </w:rPr>
              <w:fldChar w:fldCharType="separate"/>
            </w:r>
            <w:r w:rsidRPr="002734B9">
              <w:rPr>
                <w:rFonts w:cs="Arial"/>
                <w:sz w:val="20"/>
              </w:rPr>
              <w:t>3.2.1</w:t>
            </w:r>
            <w:r w:rsidRPr="002734B9">
              <w:rPr>
                <w:rFonts w:cs="Arial"/>
                <w:sz w:val="20"/>
              </w:rPr>
              <w:fldChar w:fldCharType="end"/>
            </w:r>
            <w:r w:rsidRPr="002734B9">
              <w:rPr>
                <w:rFonts w:cs="Arial"/>
                <w:sz w:val="20"/>
              </w:rPr>
              <w:t xml:space="preserve"> eingehalten werden.</w:t>
            </w:r>
          </w:p>
        </w:tc>
      </w:tr>
      <w:tr w:rsidR="00031C37" w:rsidRPr="002734B9" w:rsidTr="001F48BE">
        <w:trPr>
          <w:trHeight w:val="283"/>
        </w:trPr>
        <w:tc>
          <w:tcPr>
            <w:tcW w:w="1139" w:type="dxa"/>
            <w:shd w:val="clear" w:color="auto" w:fill="F2F2F2" w:themeFill="background1" w:themeFillShade="F2"/>
          </w:tcPr>
          <w:p w:rsidR="00031C37" w:rsidRPr="00031C37" w:rsidRDefault="00031C37" w:rsidP="00EA1340">
            <w:pPr>
              <w:spacing w:line="276" w:lineRule="auto"/>
              <w:jc w:val="both"/>
              <w:rPr>
                <w:rFonts w:cs="Arial"/>
                <w:b/>
                <w:sz w:val="20"/>
              </w:rPr>
            </w:pPr>
            <w:r w:rsidRPr="00031C37">
              <w:rPr>
                <w:rFonts w:cs="Arial"/>
                <w:b/>
                <w:sz w:val="20"/>
              </w:rPr>
              <w:t>3.1.3</w:t>
            </w:r>
          </w:p>
        </w:tc>
        <w:tc>
          <w:tcPr>
            <w:tcW w:w="13457" w:type="dxa"/>
            <w:gridSpan w:val="2"/>
            <w:shd w:val="clear" w:color="auto" w:fill="F2F2F2" w:themeFill="background1" w:themeFillShade="F2"/>
          </w:tcPr>
          <w:p w:rsidR="00031C37" w:rsidRPr="00031C37" w:rsidRDefault="00031C37" w:rsidP="00EA1340">
            <w:pPr>
              <w:spacing w:line="276" w:lineRule="auto"/>
              <w:rPr>
                <w:rFonts w:cs="Arial"/>
                <w:b/>
                <w:sz w:val="20"/>
              </w:rPr>
            </w:pPr>
            <w:r w:rsidRPr="00031C37">
              <w:rPr>
                <w:rFonts w:cs="Arial"/>
                <w:b/>
                <w:sz w:val="20"/>
              </w:rPr>
              <w:t>Anforderungen bezüglich flüchtiger organischer Verbindungen (VOC)</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031C37" w:rsidRDefault="00031C37" w:rsidP="00031C37">
            <w:pPr>
              <w:spacing w:line="276" w:lineRule="auto"/>
              <w:rPr>
                <w:rFonts w:cs="Arial"/>
                <w:sz w:val="20"/>
              </w:rPr>
            </w:pPr>
            <w:r w:rsidRPr="00031C37">
              <w:rPr>
                <w:rFonts w:cs="Arial"/>
                <w:sz w:val="20"/>
              </w:rPr>
              <w:t>Beschichtungen u. Klebefolien, Reinigungsfähige</w:t>
            </w:r>
            <w:r>
              <w:rPr>
                <w:rFonts w:cs="Arial"/>
                <w:sz w:val="20"/>
              </w:rPr>
              <w:t xml:space="preserve"> </w:t>
            </w:r>
            <w:r w:rsidRPr="00031C37">
              <w:rPr>
                <w:rFonts w:cs="Arial"/>
                <w:sz w:val="20"/>
              </w:rPr>
              <w:t>Hartbeschichtungen</w:t>
            </w:r>
            <w:r>
              <w:rPr>
                <w:rFonts w:cs="Arial"/>
                <w:sz w:val="20"/>
              </w:rPr>
              <w:t xml:space="preserve">, </w:t>
            </w:r>
          </w:p>
          <w:p w:rsidR="00031C37" w:rsidRPr="00031C37" w:rsidRDefault="00031C37" w:rsidP="00031C37">
            <w:pPr>
              <w:spacing w:line="276" w:lineRule="auto"/>
              <w:rPr>
                <w:rFonts w:cs="Arial"/>
                <w:sz w:val="20"/>
              </w:rPr>
            </w:pPr>
            <w:r w:rsidRPr="00031C37">
              <w:rPr>
                <w:rFonts w:cs="Arial"/>
                <w:sz w:val="20"/>
              </w:rPr>
              <w:t>Elektrische Verfahren mit speziellem Beschichtungsaufbau</w:t>
            </w:r>
          </w:p>
          <w:p w:rsidR="00804FA5" w:rsidRPr="00031C37" w:rsidRDefault="00804FA5" w:rsidP="00EA1340">
            <w:pPr>
              <w:spacing w:line="276" w:lineRule="auto"/>
              <w:rPr>
                <w:rFonts w:cs="Arial"/>
                <w:sz w:val="20"/>
                <w:highlight w:val="yellow"/>
              </w:rPr>
            </w:pPr>
          </w:p>
        </w:tc>
        <w:tc>
          <w:tcPr>
            <w:tcW w:w="9781" w:type="dxa"/>
          </w:tcPr>
          <w:p w:rsidR="0051049E" w:rsidRPr="0051049E" w:rsidRDefault="0051049E" w:rsidP="0051049E">
            <w:pPr>
              <w:rPr>
                <w:rFonts w:cs="Arial"/>
                <w:sz w:val="20"/>
              </w:rPr>
            </w:pPr>
            <w:r w:rsidRPr="0051049E">
              <w:rPr>
                <w:rFonts w:cs="Arial"/>
                <w:sz w:val="20"/>
              </w:rPr>
              <w:t>Für den maximal zulässigen Gehalt an flüchtigen organischen Verbindungen in Unterwasserbeschichtungen gilt:</w:t>
            </w:r>
          </w:p>
          <w:p w:rsidR="0051049E" w:rsidRPr="0051049E" w:rsidRDefault="0051049E" w:rsidP="0051049E">
            <w:pPr>
              <w:pStyle w:val="AufzhlungPunkt2"/>
              <w:numPr>
                <w:ilvl w:val="0"/>
                <w:numId w:val="9"/>
              </w:numPr>
              <w:ind w:left="851" w:hanging="425"/>
              <w:rPr>
                <w:rFonts w:ascii="Arial" w:hAnsi="Arial" w:cs="Arial"/>
              </w:rPr>
            </w:pPr>
            <w:r w:rsidRPr="0051049E">
              <w:rPr>
                <w:rFonts w:ascii="Arial" w:hAnsi="Arial" w:cs="Arial"/>
              </w:rPr>
              <w:t>für wasserbasierte Produkte ein VOC-Grenzwert von 100 g/L und für lösemittelbasierte Produkte von 250 g/L.</w:t>
            </w:r>
            <w:r w:rsidRPr="0051049E">
              <w:rPr>
                <w:rStyle w:val="Funotenzeichen"/>
                <w:rFonts w:ascii="Arial" w:hAnsi="Arial" w:cs="Arial"/>
              </w:rPr>
              <w:footnoteReference w:id="3"/>
            </w:r>
          </w:p>
          <w:p w:rsidR="0051049E" w:rsidRPr="0051049E" w:rsidRDefault="0051049E" w:rsidP="0051049E">
            <w:pPr>
              <w:pStyle w:val="Standardeingercktum0"/>
              <w:rPr>
                <w:rFonts w:ascii="Arial" w:hAnsi="Arial" w:cs="Arial"/>
              </w:rPr>
            </w:pPr>
            <w:r w:rsidRPr="0051049E">
              <w:rPr>
                <w:rFonts w:ascii="Arial" w:hAnsi="Arial" w:cs="Arial"/>
              </w:rPr>
              <w:t xml:space="preserve">oder </w:t>
            </w:r>
          </w:p>
          <w:p w:rsidR="00804FA5" w:rsidRPr="0051049E" w:rsidRDefault="0051049E" w:rsidP="0051049E">
            <w:pPr>
              <w:pStyle w:val="AufzhlungPunkt2"/>
              <w:numPr>
                <w:ilvl w:val="0"/>
                <w:numId w:val="9"/>
              </w:numPr>
              <w:ind w:left="851" w:hanging="425"/>
            </w:pPr>
            <w:r w:rsidRPr="0051049E">
              <w:rPr>
                <w:rFonts w:ascii="Arial" w:hAnsi="Arial" w:cs="Arial"/>
              </w:rPr>
              <w:t>ein flächenbezogener Verbrauch insgesamt für alle aufgetragenen Schichten von 150 g/m2.</w:t>
            </w:r>
            <w:r w:rsidRPr="0051049E">
              <w:rPr>
                <w:rStyle w:val="Funotenzeichen"/>
                <w:rFonts w:ascii="Arial" w:hAnsi="Arial" w:cs="Arial"/>
              </w:rPr>
              <w:footnoteReference w:id="4"/>
            </w:r>
          </w:p>
        </w:tc>
      </w:tr>
      <w:tr w:rsidR="00031C37" w:rsidRPr="002734B9" w:rsidTr="001F48BE">
        <w:trPr>
          <w:trHeight w:val="283"/>
        </w:trPr>
        <w:tc>
          <w:tcPr>
            <w:tcW w:w="1139" w:type="dxa"/>
            <w:shd w:val="clear" w:color="auto" w:fill="F2F2F2" w:themeFill="background1" w:themeFillShade="F2"/>
          </w:tcPr>
          <w:p w:rsidR="00031C37" w:rsidRPr="001932DC" w:rsidRDefault="00031C37" w:rsidP="00EA1340">
            <w:pPr>
              <w:spacing w:line="276" w:lineRule="auto"/>
              <w:jc w:val="both"/>
              <w:rPr>
                <w:rFonts w:cs="Arial"/>
                <w:b/>
                <w:sz w:val="20"/>
              </w:rPr>
            </w:pPr>
            <w:r w:rsidRPr="001932DC">
              <w:rPr>
                <w:rFonts w:cs="Arial"/>
                <w:b/>
                <w:sz w:val="20"/>
              </w:rPr>
              <w:t>3.1.4</w:t>
            </w:r>
          </w:p>
        </w:tc>
        <w:tc>
          <w:tcPr>
            <w:tcW w:w="13457" w:type="dxa"/>
            <w:gridSpan w:val="2"/>
            <w:shd w:val="clear" w:color="auto" w:fill="F2F2F2" w:themeFill="background1" w:themeFillShade="F2"/>
          </w:tcPr>
          <w:p w:rsidR="00031C37" w:rsidRPr="001932DC" w:rsidRDefault="001932DC" w:rsidP="00EA1340">
            <w:pPr>
              <w:spacing w:line="276" w:lineRule="auto"/>
              <w:rPr>
                <w:rFonts w:cs="Arial"/>
                <w:b/>
                <w:sz w:val="20"/>
              </w:rPr>
            </w:pPr>
            <w:r w:rsidRPr="001932DC">
              <w:rPr>
                <w:rFonts w:cs="Arial"/>
                <w:b/>
                <w:sz w:val="20"/>
              </w:rPr>
              <w:t>Spezielle stoffliche Anforderungen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031C37" w:rsidRDefault="00031C37" w:rsidP="00031C37">
            <w:pPr>
              <w:spacing w:line="276" w:lineRule="auto"/>
              <w:rPr>
                <w:rFonts w:cs="Arial"/>
                <w:sz w:val="20"/>
              </w:rPr>
            </w:pPr>
            <w:r w:rsidRPr="00031C37">
              <w:rPr>
                <w:rFonts w:cs="Arial"/>
                <w:sz w:val="20"/>
              </w:rPr>
              <w:t xml:space="preserve">Beschichtungen u. Klebefolien, Reinigungsfähige Hartbeschichtungen, Elektrische Verfahren mit speziellem Beschichtungsaufbau, </w:t>
            </w:r>
          </w:p>
          <w:p w:rsidR="00031C37" w:rsidRDefault="00031C37" w:rsidP="00031C37">
            <w:pPr>
              <w:spacing w:line="276" w:lineRule="auto"/>
              <w:rPr>
                <w:rFonts w:cs="Arial"/>
                <w:sz w:val="20"/>
              </w:rPr>
            </w:pPr>
            <w:r w:rsidRPr="00031C37">
              <w:rPr>
                <w:rFonts w:cs="Arial"/>
                <w:sz w:val="20"/>
              </w:rPr>
              <w:t xml:space="preserve">Unterwasserplanen, </w:t>
            </w:r>
          </w:p>
          <w:p w:rsidR="00031C37" w:rsidRDefault="00031C37" w:rsidP="00031C37">
            <w:pPr>
              <w:spacing w:line="276" w:lineRule="auto"/>
              <w:rPr>
                <w:rFonts w:cs="Arial"/>
                <w:sz w:val="20"/>
              </w:rPr>
            </w:pPr>
            <w:r w:rsidRPr="00031C37">
              <w:rPr>
                <w:rFonts w:cs="Arial"/>
                <w:sz w:val="20"/>
              </w:rPr>
              <w:t>Mobile Schiffsreinigungsgeräte</w:t>
            </w:r>
            <w:r>
              <w:rPr>
                <w:rFonts w:cs="Arial"/>
                <w:sz w:val="20"/>
              </w:rPr>
              <w:t xml:space="preserve">, </w:t>
            </w:r>
          </w:p>
          <w:p w:rsidR="00031C37" w:rsidRPr="00031C37" w:rsidRDefault="00031C37" w:rsidP="00031C37">
            <w:pPr>
              <w:spacing w:line="276" w:lineRule="auto"/>
              <w:rPr>
                <w:rFonts w:cs="Arial"/>
                <w:sz w:val="20"/>
              </w:rPr>
            </w:pPr>
            <w:r w:rsidRPr="00031C37">
              <w:rPr>
                <w:rFonts w:cs="Arial"/>
                <w:sz w:val="20"/>
              </w:rPr>
              <w:t>Stationäre Schiffsreinigungsanlagen</w:t>
            </w:r>
          </w:p>
          <w:p w:rsidR="00804FA5" w:rsidRPr="002734B9" w:rsidRDefault="00804FA5" w:rsidP="00EA1340">
            <w:pPr>
              <w:spacing w:line="276" w:lineRule="auto"/>
              <w:rPr>
                <w:rFonts w:cs="Arial"/>
                <w:sz w:val="20"/>
              </w:rPr>
            </w:pPr>
          </w:p>
        </w:tc>
        <w:tc>
          <w:tcPr>
            <w:tcW w:w="9781" w:type="dxa"/>
          </w:tcPr>
          <w:p w:rsidR="0004748C" w:rsidRPr="0004748C" w:rsidRDefault="0004748C" w:rsidP="0004748C">
            <w:pPr>
              <w:pStyle w:val="AufzhlungBuchstabeFett"/>
              <w:rPr>
                <w:rFonts w:ascii="Arial" w:hAnsi="Arial" w:cs="Arial"/>
                <w:szCs w:val="20"/>
              </w:rPr>
            </w:pPr>
            <w:r w:rsidRPr="0004748C">
              <w:rPr>
                <w:rFonts w:ascii="Arial" w:hAnsi="Arial" w:cs="Arial"/>
                <w:szCs w:val="20"/>
              </w:rPr>
              <w:t>Pigmente und Sikkative</w:t>
            </w:r>
          </w:p>
          <w:p w:rsidR="0004748C" w:rsidRPr="0004748C" w:rsidRDefault="0004748C" w:rsidP="0004748C">
            <w:pPr>
              <w:rPr>
                <w:rFonts w:cs="Arial"/>
                <w:sz w:val="20"/>
              </w:rPr>
            </w:pPr>
            <w:r w:rsidRPr="0004748C">
              <w:rPr>
                <w:rFonts w:cs="Arial"/>
                <w:sz w:val="20"/>
              </w:rPr>
              <w:t>Pigmente oder Sikkative, die Bleiverbindungen enthalten, dürfen Unterwasserbeschichtungen oder Kunststoffen nicht zugesetzt werden. Ausgenommen sind natürliche und produktionsbedingte Verunreinigungen bis zu 200 ppm, die im Pigment enthalten sein können.</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Alkylphenolethoxylat</w:t>
            </w:r>
          </w:p>
          <w:p w:rsidR="0004748C" w:rsidRPr="0004748C" w:rsidRDefault="0004748C" w:rsidP="0004748C">
            <w:pPr>
              <w:rPr>
                <w:rFonts w:cs="Arial"/>
                <w:sz w:val="20"/>
              </w:rPr>
            </w:pPr>
            <w:r w:rsidRPr="0004748C">
              <w:rPr>
                <w:rFonts w:cs="Arial"/>
                <w:sz w:val="20"/>
              </w:rPr>
              <w:t>Produkte, die Alkylphenolethoxylate (APEO) und/oder deren Derivate enthalten, dürfen Unterwasserbeschichtungen oder Kunststoffen nicht zugesetzt werden. Dies gilt auch für die Vorprodukte.</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Weichmacher</w:t>
            </w:r>
          </w:p>
          <w:p w:rsidR="0004748C" w:rsidRPr="0004748C" w:rsidRDefault="0004748C" w:rsidP="0004748C">
            <w:pPr>
              <w:rPr>
                <w:rFonts w:cs="Arial"/>
                <w:sz w:val="20"/>
              </w:rPr>
            </w:pPr>
            <w:r w:rsidRPr="0004748C">
              <w:rPr>
                <w:rFonts w:cs="Arial"/>
                <w:sz w:val="20"/>
              </w:rPr>
              <w:t>Produkte, die weichmachende Substanzen aus der Gruppe der Phthalate oder aus der Gruppe der Organophosphate enthalten, dürfen Unterwasserbeschichtungen oder Kunststoffen nicht zugesetzt werden. Dies gilt auch für Vorprodukte.</w:t>
            </w:r>
          </w:p>
          <w:p w:rsidR="0004748C" w:rsidRPr="0004748C" w:rsidRDefault="0004748C" w:rsidP="0004748C">
            <w:pPr>
              <w:pStyle w:val="AufzhlungBuchstabeFett"/>
              <w:rPr>
                <w:rFonts w:ascii="Arial" w:hAnsi="Arial" w:cs="Arial"/>
                <w:szCs w:val="20"/>
              </w:rPr>
            </w:pPr>
            <w:r w:rsidRPr="0004748C">
              <w:rPr>
                <w:rFonts w:ascii="Arial" w:hAnsi="Arial" w:cs="Arial"/>
                <w:szCs w:val="20"/>
              </w:rPr>
              <w:lastRenderedPageBreak/>
              <w:t>Oxime</w:t>
            </w:r>
          </w:p>
          <w:p w:rsidR="0004748C" w:rsidRPr="0004748C" w:rsidRDefault="0004748C" w:rsidP="0004748C">
            <w:pPr>
              <w:rPr>
                <w:rFonts w:cs="Arial"/>
                <w:sz w:val="20"/>
              </w:rPr>
            </w:pPr>
            <w:r w:rsidRPr="0004748C">
              <w:rPr>
                <w:rFonts w:cs="Arial"/>
                <w:sz w:val="20"/>
              </w:rPr>
              <w:t xml:space="preserve">Oxime und Vorprodukte, die Oxime enthalten, dürfen den Produkten nicht zugesetzt werden. </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Perfluorierte und polyfluorierte Chemikalien</w:t>
            </w:r>
          </w:p>
          <w:p w:rsidR="0004748C" w:rsidRPr="0004748C" w:rsidRDefault="0004748C" w:rsidP="0004748C">
            <w:pPr>
              <w:rPr>
                <w:rFonts w:cs="Arial"/>
                <w:sz w:val="20"/>
              </w:rPr>
            </w:pPr>
            <w:r w:rsidRPr="0004748C">
              <w:rPr>
                <w:rFonts w:cs="Arial"/>
                <w:sz w:val="20"/>
              </w:rPr>
              <w:t>Es dürfen keine per- und polyfluorierten Chemikalien (PFAS), beispielsweise Fluorcarbonharze und -dispersionen, perfluorierte Tenside, perfluorierte Sulfon- und Karbonsäuren in den Produkten und Vorprodukten eingesetzt werden. Die Verwendung von Polytetrafluorethylen-Kunststoffen (PTFE) ist ebenfalls ausgeschlossen.</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PVC</w:t>
            </w:r>
          </w:p>
          <w:p w:rsidR="0004748C" w:rsidRPr="0004748C" w:rsidRDefault="0004748C" w:rsidP="0004748C">
            <w:pPr>
              <w:rPr>
                <w:rFonts w:cs="Arial"/>
                <w:sz w:val="20"/>
              </w:rPr>
            </w:pPr>
            <w:r w:rsidRPr="0004748C">
              <w:rPr>
                <w:rFonts w:cs="Arial"/>
                <w:sz w:val="20"/>
              </w:rPr>
              <w:t>Die Verwendung des Kunststoffs Polyvinylchlorid (PVC) ist nicht zulässig.</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Zinnorganische Verbindungen</w:t>
            </w:r>
          </w:p>
          <w:p w:rsidR="0004748C" w:rsidRPr="0004748C" w:rsidRDefault="0004748C" w:rsidP="0004748C">
            <w:pPr>
              <w:rPr>
                <w:rFonts w:cs="Arial"/>
                <w:sz w:val="20"/>
              </w:rPr>
            </w:pPr>
            <w:r w:rsidRPr="0004748C">
              <w:rPr>
                <w:rFonts w:cs="Arial"/>
                <w:sz w:val="20"/>
              </w:rPr>
              <w:t>Die Verwendung zinnorganischer Verbindungen ist nicht zulässig.</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Kupfer als Katalysator</w:t>
            </w:r>
          </w:p>
          <w:p w:rsidR="0004748C" w:rsidRPr="0004748C" w:rsidRDefault="0004748C" w:rsidP="0004748C">
            <w:pPr>
              <w:rPr>
                <w:rFonts w:cs="Arial"/>
                <w:sz w:val="20"/>
              </w:rPr>
            </w:pPr>
            <w:r w:rsidRPr="0004748C">
              <w:rPr>
                <w:rFonts w:cs="Arial"/>
                <w:sz w:val="20"/>
              </w:rPr>
              <w:t xml:space="preserve">Die Verwendung von Kupfer als Katalysator in Silikonbeschichtungen darf nur erfolgen, wenn die Anforderungen an die Einstufung des Produktes in </w:t>
            </w:r>
            <w:r w:rsidRPr="0004748C">
              <w:rPr>
                <w:rFonts w:cs="Arial"/>
                <w:sz w:val="20"/>
              </w:rPr>
              <w:fldChar w:fldCharType="begin"/>
            </w:r>
            <w:r w:rsidRPr="0004748C">
              <w:rPr>
                <w:rFonts w:cs="Arial"/>
                <w:sz w:val="20"/>
              </w:rPr>
              <w:instrText xml:space="preserve"> REF _Ref84943712 \r \h  \* MERGEFORMAT </w:instrText>
            </w:r>
            <w:r w:rsidRPr="0004748C">
              <w:rPr>
                <w:rFonts w:cs="Arial"/>
                <w:sz w:val="20"/>
              </w:rPr>
            </w:r>
            <w:r w:rsidRPr="0004748C">
              <w:rPr>
                <w:rFonts w:cs="Arial"/>
                <w:sz w:val="20"/>
              </w:rPr>
              <w:fldChar w:fldCharType="separate"/>
            </w:r>
            <w:r w:rsidRPr="0004748C">
              <w:rPr>
                <w:rFonts w:cs="Arial"/>
                <w:sz w:val="20"/>
              </w:rPr>
              <w:t>3.2.1</w:t>
            </w:r>
            <w:r w:rsidRPr="0004748C">
              <w:rPr>
                <w:rFonts w:cs="Arial"/>
                <w:sz w:val="20"/>
              </w:rPr>
              <w:fldChar w:fldCharType="end"/>
            </w:r>
            <w:r w:rsidRPr="0004748C">
              <w:rPr>
                <w:rFonts w:cs="Arial"/>
                <w:sz w:val="20"/>
              </w:rPr>
              <w:t xml:space="preserve"> eingehalten werden.</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Zinkoxid</w:t>
            </w:r>
          </w:p>
          <w:p w:rsidR="0004748C" w:rsidRPr="0004748C" w:rsidRDefault="0004748C" w:rsidP="0004748C">
            <w:pPr>
              <w:rPr>
                <w:rFonts w:cs="Arial"/>
                <w:sz w:val="20"/>
              </w:rPr>
            </w:pPr>
            <w:r w:rsidRPr="0004748C">
              <w:rPr>
                <w:rFonts w:cs="Arial"/>
                <w:sz w:val="20"/>
              </w:rPr>
              <w:t xml:space="preserve">Die Verwendung von Zinkoxid als Hilfsstoff (z.B. Pigment, UV-Absorber, Katalysator) darf nur erfolgen, wenn die Anforderungen an die Einstufung des Produktes in </w:t>
            </w:r>
            <w:r w:rsidRPr="0004748C">
              <w:rPr>
                <w:rFonts w:cs="Arial"/>
                <w:sz w:val="20"/>
              </w:rPr>
              <w:fldChar w:fldCharType="begin"/>
            </w:r>
            <w:r w:rsidRPr="0004748C">
              <w:rPr>
                <w:rFonts w:cs="Arial"/>
                <w:sz w:val="20"/>
              </w:rPr>
              <w:instrText xml:space="preserve"> REF _Ref84943712 \r \h  \* MERGEFORMAT </w:instrText>
            </w:r>
            <w:r w:rsidRPr="0004748C">
              <w:rPr>
                <w:rFonts w:cs="Arial"/>
                <w:sz w:val="20"/>
              </w:rPr>
            </w:r>
            <w:r w:rsidRPr="0004748C">
              <w:rPr>
                <w:rFonts w:cs="Arial"/>
                <w:sz w:val="20"/>
              </w:rPr>
              <w:fldChar w:fldCharType="separate"/>
            </w:r>
            <w:r w:rsidRPr="0004748C">
              <w:rPr>
                <w:rFonts w:cs="Arial"/>
                <w:sz w:val="20"/>
              </w:rPr>
              <w:t>3.2.1</w:t>
            </w:r>
            <w:r w:rsidRPr="0004748C">
              <w:rPr>
                <w:rFonts w:cs="Arial"/>
                <w:sz w:val="20"/>
              </w:rPr>
              <w:fldChar w:fldCharType="end"/>
            </w:r>
            <w:r w:rsidRPr="0004748C">
              <w:rPr>
                <w:rFonts w:cs="Arial"/>
                <w:sz w:val="20"/>
              </w:rPr>
              <w:t xml:space="preserve"> eingehalten werden.</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Epoxidharze</w:t>
            </w:r>
          </w:p>
          <w:p w:rsidR="0004748C" w:rsidRPr="0004748C" w:rsidRDefault="0004748C" w:rsidP="0004748C">
            <w:pPr>
              <w:rPr>
                <w:rFonts w:cs="Arial"/>
                <w:sz w:val="20"/>
              </w:rPr>
            </w:pPr>
            <w:r w:rsidRPr="0004748C">
              <w:rPr>
                <w:rFonts w:cs="Arial"/>
                <w:sz w:val="20"/>
              </w:rPr>
              <w:t>Die Verwendung von Bisphenol A-basierten Kunstharzen oder ähnlichen Bisphenol-Verbindungen in Kunstharzen ist nicht zulässig.</w:t>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Nanomaterialien</w:t>
            </w:r>
          </w:p>
          <w:p w:rsidR="00804FA5" w:rsidRPr="0004748C" w:rsidRDefault="0004748C" w:rsidP="0004748C">
            <w:pPr>
              <w:rPr>
                <w:rFonts w:cs="Arial"/>
                <w:sz w:val="20"/>
              </w:rPr>
            </w:pPr>
            <w:r w:rsidRPr="0004748C">
              <w:rPr>
                <w:rFonts w:cs="Arial"/>
                <w:sz w:val="20"/>
              </w:rPr>
              <w:t>Die Verwendung von Nanomaterialien ist nicht zulässig.</w:t>
            </w:r>
          </w:p>
        </w:tc>
      </w:tr>
      <w:tr w:rsidR="00445C36" w:rsidRPr="002734B9" w:rsidTr="00445C36">
        <w:trPr>
          <w:trHeight w:val="283"/>
        </w:trPr>
        <w:tc>
          <w:tcPr>
            <w:tcW w:w="1139" w:type="dxa"/>
            <w:shd w:val="clear" w:color="auto" w:fill="F2F2F2" w:themeFill="background1" w:themeFillShade="F2"/>
          </w:tcPr>
          <w:p w:rsidR="00445C36" w:rsidRPr="002734B9" w:rsidRDefault="00445C36" w:rsidP="00EA1340">
            <w:pPr>
              <w:spacing w:line="276" w:lineRule="auto"/>
              <w:jc w:val="both"/>
              <w:rPr>
                <w:rFonts w:cs="Arial"/>
                <w:b/>
                <w:sz w:val="20"/>
              </w:rPr>
            </w:pPr>
            <w:r w:rsidRPr="002734B9">
              <w:rPr>
                <w:rFonts w:cs="Arial"/>
                <w:b/>
                <w:sz w:val="20"/>
              </w:rPr>
              <w:lastRenderedPageBreak/>
              <w:t>3.1.5</w:t>
            </w:r>
          </w:p>
        </w:tc>
        <w:tc>
          <w:tcPr>
            <w:tcW w:w="13457" w:type="dxa"/>
            <w:gridSpan w:val="2"/>
            <w:shd w:val="clear" w:color="auto" w:fill="F2F2F2" w:themeFill="background1" w:themeFillShade="F2"/>
          </w:tcPr>
          <w:p w:rsidR="00445C36" w:rsidRPr="00445C36" w:rsidRDefault="00445C36" w:rsidP="00EA1340">
            <w:pPr>
              <w:spacing w:line="276" w:lineRule="auto"/>
              <w:rPr>
                <w:rFonts w:cs="Arial"/>
                <w:b/>
                <w:sz w:val="20"/>
              </w:rPr>
            </w:pPr>
            <w:r w:rsidRPr="00445C36">
              <w:rPr>
                <w:rFonts w:cs="Arial"/>
                <w:b/>
                <w:sz w:val="20"/>
              </w:rPr>
              <w:t>Intendierte Freisetzung von Stoffen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101D4D" w:rsidRDefault="00445C36" w:rsidP="00445C36">
            <w:pPr>
              <w:spacing w:line="276" w:lineRule="auto"/>
              <w:rPr>
                <w:rFonts w:cs="Arial"/>
                <w:sz w:val="20"/>
              </w:rPr>
            </w:pPr>
            <w:r w:rsidRPr="00445C36">
              <w:rPr>
                <w:rFonts w:cs="Arial"/>
                <w:sz w:val="20"/>
              </w:rPr>
              <w:t>Beschichtungen u. Klebefolien, Reinigungsfähige</w:t>
            </w:r>
            <w:r w:rsidR="00101D4D">
              <w:rPr>
                <w:rFonts w:cs="Arial"/>
                <w:sz w:val="20"/>
              </w:rPr>
              <w:t xml:space="preserve"> </w:t>
            </w:r>
            <w:r w:rsidRPr="00445C36">
              <w:rPr>
                <w:rFonts w:cs="Arial"/>
                <w:sz w:val="20"/>
              </w:rPr>
              <w:t xml:space="preserve">Hartbeschichtungen, </w:t>
            </w:r>
          </w:p>
          <w:p w:rsidR="00101D4D" w:rsidRDefault="00445C36" w:rsidP="00445C36">
            <w:pPr>
              <w:spacing w:line="276" w:lineRule="auto"/>
              <w:rPr>
                <w:rFonts w:cs="Arial"/>
                <w:sz w:val="20"/>
              </w:rPr>
            </w:pPr>
            <w:r w:rsidRPr="00445C36">
              <w:rPr>
                <w:rFonts w:cs="Arial"/>
                <w:sz w:val="20"/>
              </w:rPr>
              <w:t>Elektrische Verfahren mit spe</w:t>
            </w:r>
            <w:r w:rsidRPr="00445C36">
              <w:rPr>
                <w:rFonts w:cs="Arial"/>
                <w:sz w:val="20"/>
              </w:rPr>
              <w:softHyphen/>
              <w:t>ziellem Beschichtungsaufbau</w:t>
            </w:r>
            <w:r w:rsidR="00101D4D">
              <w:rPr>
                <w:rFonts w:cs="Arial"/>
                <w:sz w:val="20"/>
              </w:rPr>
              <w:t xml:space="preserve">, </w:t>
            </w:r>
          </w:p>
          <w:p w:rsidR="00445C36" w:rsidRPr="00445C36" w:rsidRDefault="00445C36" w:rsidP="00445C36">
            <w:pPr>
              <w:spacing w:line="276" w:lineRule="auto"/>
              <w:rPr>
                <w:rFonts w:cs="Arial"/>
                <w:sz w:val="20"/>
              </w:rPr>
            </w:pPr>
            <w:r w:rsidRPr="00445C36">
              <w:rPr>
                <w:rFonts w:cs="Arial"/>
                <w:sz w:val="20"/>
              </w:rPr>
              <w:t>Unterwasserplanen</w:t>
            </w:r>
          </w:p>
          <w:p w:rsidR="00804FA5" w:rsidRPr="002734B9" w:rsidRDefault="00804FA5" w:rsidP="00EA1340">
            <w:pPr>
              <w:spacing w:line="276" w:lineRule="auto"/>
              <w:rPr>
                <w:rFonts w:cs="Arial"/>
                <w:sz w:val="20"/>
              </w:rPr>
            </w:pPr>
          </w:p>
        </w:tc>
        <w:tc>
          <w:tcPr>
            <w:tcW w:w="9781" w:type="dxa"/>
          </w:tcPr>
          <w:p w:rsidR="0004748C" w:rsidRPr="004C1753" w:rsidRDefault="0004748C" w:rsidP="004C1753">
            <w:pPr>
              <w:pStyle w:val="AufzhlungBuchstabeFett"/>
              <w:numPr>
                <w:ilvl w:val="8"/>
                <w:numId w:val="17"/>
              </w:numPr>
              <w:rPr>
                <w:rFonts w:ascii="Arial" w:hAnsi="Arial" w:cs="Arial"/>
                <w:szCs w:val="20"/>
              </w:rPr>
            </w:pPr>
            <w:r w:rsidRPr="004C1753">
              <w:rPr>
                <w:rFonts w:ascii="Arial" w:hAnsi="Arial" w:cs="Arial"/>
                <w:szCs w:val="20"/>
              </w:rPr>
              <w:lastRenderedPageBreak/>
              <w:t>Kunststoffe</w:t>
            </w:r>
          </w:p>
          <w:p w:rsidR="0004748C" w:rsidRDefault="0004748C" w:rsidP="0004748C">
            <w:pPr>
              <w:rPr>
                <w:rFonts w:cs="Arial"/>
                <w:sz w:val="20"/>
              </w:rPr>
            </w:pPr>
            <w:r w:rsidRPr="0004748C">
              <w:rPr>
                <w:rFonts w:cs="Arial"/>
                <w:sz w:val="20"/>
              </w:rPr>
              <w:t>Die intendierte Freisetzung von Kunststoffen (wie z.B. Mikroplastik) ist nicht zulässig. Damit werden explizit erodierende und selbstpolierende Beschichtungen ausgeschlossen.</w:t>
            </w:r>
          </w:p>
          <w:p w:rsidR="004C1753" w:rsidRPr="0004748C" w:rsidRDefault="004C1753" w:rsidP="0004748C">
            <w:pPr>
              <w:rPr>
                <w:rFonts w:cs="Arial"/>
                <w:sz w:val="20"/>
              </w:rPr>
            </w:pP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lastRenderedPageBreak/>
              <w:t>Silikonöle</w:t>
            </w:r>
          </w:p>
          <w:p w:rsidR="0004748C" w:rsidRPr="0004748C" w:rsidRDefault="0004748C" w:rsidP="0004748C">
            <w:pPr>
              <w:rPr>
                <w:rFonts w:cs="Arial"/>
                <w:sz w:val="20"/>
              </w:rPr>
            </w:pPr>
            <w:r w:rsidRPr="0004748C">
              <w:rPr>
                <w:rFonts w:cs="Arial"/>
                <w:sz w:val="20"/>
              </w:rPr>
              <w:t>Die Verwendung von Silikonölen, die bestimmungsgemäß aus Beschichtungen ausschwitzen, ist untersagt. Vom allgemeinen Verwendungsverbot ausgenommen sind gebundene Silikonöle, die in Materialien für den Lebensmittelkontakt zugelassen oder aus trinkwasserhygienischer Sicht als unbedenklich eingestuft wurden.</w:t>
            </w:r>
            <w:r w:rsidRPr="0004748C">
              <w:rPr>
                <w:rStyle w:val="Funotenzeichen"/>
                <w:rFonts w:cs="Arial"/>
                <w:sz w:val="20"/>
              </w:rPr>
              <w:footnoteReference w:id="5"/>
            </w:r>
            <w:r w:rsidRPr="0004748C">
              <w:rPr>
                <w:rStyle w:val="Funotenzeichen"/>
                <w:rFonts w:cs="Arial"/>
                <w:sz w:val="20"/>
              </w:rPr>
              <w:t xml:space="preserve"> </w:t>
            </w:r>
            <w:r w:rsidRPr="0004748C">
              <w:rPr>
                <w:rStyle w:val="Funotenzeichen"/>
                <w:rFonts w:cs="Arial"/>
                <w:sz w:val="20"/>
              </w:rPr>
              <w:footnoteReference w:id="6"/>
            </w:r>
          </w:p>
          <w:p w:rsidR="0004748C" w:rsidRPr="0004748C" w:rsidRDefault="0004748C" w:rsidP="0004748C">
            <w:pPr>
              <w:rPr>
                <w:rFonts w:cs="Arial"/>
                <w:sz w:val="20"/>
              </w:rPr>
            </w:pPr>
          </w:p>
          <w:p w:rsidR="0004748C" w:rsidRPr="0004748C" w:rsidRDefault="0004748C" w:rsidP="0004748C">
            <w:pPr>
              <w:pStyle w:val="AufzhlungBuchstabeFett"/>
              <w:rPr>
                <w:rFonts w:ascii="Arial" w:hAnsi="Arial" w:cs="Arial"/>
                <w:szCs w:val="20"/>
              </w:rPr>
            </w:pPr>
            <w:r w:rsidRPr="0004748C">
              <w:rPr>
                <w:rFonts w:ascii="Arial" w:hAnsi="Arial" w:cs="Arial"/>
                <w:szCs w:val="20"/>
              </w:rPr>
              <w:t>Natürliche Stoffe</w:t>
            </w:r>
          </w:p>
          <w:p w:rsidR="00804FA5" w:rsidRPr="0004748C" w:rsidRDefault="0004748C" w:rsidP="0004748C">
            <w:pPr>
              <w:rPr>
                <w:rFonts w:cs="Arial"/>
                <w:sz w:val="20"/>
              </w:rPr>
            </w:pPr>
            <w:r w:rsidRPr="0004748C">
              <w:rPr>
                <w:rFonts w:cs="Arial"/>
                <w:sz w:val="20"/>
              </w:rPr>
              <w:t>Das Freisetzen von Naturstoffen, die nicht chemisch modifiziert sind, wie z.B. Wachse oder Fette mit dem Ziel einer Antihaftwirkung ist im Regelfall dann zulässig, wenn keine Polymermatrix, wie bei den selbstpolierenden bzw. erodierenden Beschichtungen mit freigesetzt wird. Eine Entscheidung über die Zulässigkeit der intendierten Freisetzung von Naturstoffen erfolgt fallspezifisch durch das Umweltbundesamt.</w:t>
            </w:r>
          </w:p>
        </w:tc>
      </w:tr>
      <w:tr w:rsidR="00445C36" w:rsidRPr="002734B9" w:rsidTr="00024678">
        <w:trPr>
          <w:trHeight w:val="283"/>
        </w:trPr>
        <w:tc>
          <w:tcPr>
            <w:tcW w:w="1139" w:type="dxa"/>
            <w:shd w:val="clear" w:color="auto" w:fill="F2F2F2" w:themeFill="background1" w:themeFillShade="F2"/>
          </w:tcPr>
          <w:p w:rsidR="00445C36" w:rsidRPr="002734B9" w:rsidRDefault="00445C36" w:rsidP="00EA1340">
            <w:pPr>
              <w:spacing w:line="276" w:lineRule="auto"/>
              <w:jc w:val="both"/>
              <w:rPr>
                <w:rFonts w:cs="Arial"/>
                <w:b/>
                <w:sz w:val="20"/>
              </w:rPr>
            </w:pPr>
            <w:r w:rsidRPr="002734B9">
              <w:rPr>
                <w:rFonts w:cs="Arial"/>
                <w:b/>
                <w:sz w:val="20"/>
              </w:rPr>
              <w:lastRenderedPageBreak/>
              <w:t>3.2.4</w:t>
            </w:r>
          </w:p>
        </w:tc>
        <w:tc>
          <w:tcPr>
            <w:tcW w:w="13457" w:type="dxa"/>
            <w:gridSpan w:val="2"/>
            <w:shd w:val="clear" w:color="auto" w:fill="F2F2F2" w:themeFill="background1" w:themeFillShade="F2"/>
          </w:tcPr>
          <w:p w:rsidR="00445C36" w:rsidRPr="00024678" w:rsidRDefault="00445C36" w:rsidP="00445C36">
            <w:pPr>
              <w:overflowPunct/>
              <w:autoSpaceDE/>
              <w:autoSpaceDN/>
              <w:adjustRightInd/>
              <w:spacing w:line="276" w:lineRule="auto"/>
              <w:jc w:val="both"/>
              <w:textAlignment w:val="auto"/>
              <w:rPr>
                <w:rFonts w:cs="Arial"/>
                <w:b/>
                <w:sz w:val="20"/>
              </w:rPr>
            </w:pPr>
            <w:r w:rsidRPr="00024678">
              <w:rPr>
                <w:rFonts w:cs="Arial"/>
                <w:b/>
                <w:sz w:val="20"/>
              </w:rPr>
              <w:t>Spezielle systemspezifische Anforderungen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445C36" w:rsidRDefault="00445C36" w:rsidP="00445C36">
            <w:pPr>
              <w:spacing w:line="276" w:lineRule="auto"/>
              <w:rPr>
                <w:rFonts w:cs="Arial"/>
                <w:sz w:val="20"/>
              </w:rPr>
            </w:pPr>
            <w:r w:rsidRPr="00445C36">
              <w:rPr>
                <w:rFonts w:cs="Arial"/>
                <w:sz w:val="20"/>
              </w:rPr>
              <w:t xml:space="preserve">Bootshebeanlagen, </w:t>
            </w:r>
          </w:p>
          <w:p w:rsidR="00445C36" w:rsidRDefault="00445C36" w:rsidP="00445C36">
            <w:pPr>
              <w:spacing w:line="276" w:lineRule="auto"/>
              <w:rPr>
                <w:rFonts w:cs="Arial"/>
                <w:sz w:val="20"/>
              </w:rPr>
            </w:pPr>
            <w:r w:rsidRPr="00445C36">
              <w:rPr>
                <w:rFonts w:cs="Arial"/>
                <w:sz w:val="20"/>
              </w:rPr>
              <w:t>Mobile Schiffsreinigungsgeräte</w:t>
            </w:r>
            <w:r>
              <w:rPr>
                <w:rFonts w:cs="Arial"/>
                <w:sz w:val="20"/>
              </w:rPr>
              <w:t xml:space="preserve">, </w:t>
            </w:r>
          </w:p>
          <w:p w:rsidR="00445C36" w:rsidRPr="00445C36" w:rsidRDefault="00445C36" w:rsidP="00445C36">
            <w:pPr>
              <w:spacing w:line="276" w:lineRule="auto"/>
              <w:rPr>
                <w:rFonts w:cs="Arial"/>
                <w:sz w:val="20"/>
              </w:rPr>
            </w:pPr>
            <w:r w:rsidRPr="00445C36">
              <w:rPr>
                <w:rFonts w:cs="Arial"/>
                <w:sz w:val="20"/>
              </w:rPr>
              <w:t>Stationäre Schiffsreinigungsanlagen</w:t>
            </w:r>
          </w:p>
          <w:p w:rsidR="00804FA5" w:rsidRPr="002734B9" w:rsidRDefault="00804FA5" w:rsidP="00EA1340">
            <w:pPr>
              <w:spacing w:line="276" w:lineRule="auto"/>
              <w:rPr>
                <w:rFonts w:cs="Arial"/>
                <w:sz w:val="20"/>
              </w:rPr>
            </w:pPr>
          </w:p>
        </w:tc>
        <w:tc>
          <w:tcPr>
            <w:tcW w:w="9781" w:type="dxa"/>
          </w:tcPr>
          <w:p w:rsidR="00804FA5" w:rsidRPr="002734B9" w:rsidRDefault="00804FA5" w:rsidP="00EA1340">
            <w:pPr>
              <w:spacing w:line="276" w:lineRule="auto"/>
              <w:rPr>
                <w:rFonts w:cs="Arial"/>
                <w:b/>
                <w:sz w:val="20"/>
              </w:rPr>
            </w:pPr>
            <w:r w:rsidRPr="002734B9">
              <w:rPr>
                <w:rFonts w:cs="Arial"/>
                <w:b/>
                <w:sz w:val="20"/>
              </w:rPr>
              <w:t>Bootshebenlagen</w:t>
            </w:r>
          </w:p>
          <w:p w:rsidR="00804FA5" w:rsidRPr="002734B9" w:rsidRDefault="00804FA5" w:rsidP="00EA1340">
            <w:pPr>
              <w:spacing w:line="276" w:lineRule="auto"/>
              <w:rPr>
                <w:rFonts w:cs="Arial"/>
                <w:sz w:val="20"/>
              </w:rPr>
            </w:pPr>
            <w:r w:rsidRPr="002734B9">
              <w:rPr>
                <w:rFonts w:cs="Arial"/>
                <w:sz w:val="20"/>
              </w:rPr>
              <w:t>Schwimmende Anlagen können nur einen Blauen Engel bekommen, wenn der Schwimmkörper nicht mit einer biozidhaltigen Antifoulingbeschichtung gestrichen ist.</w:t>
            </w:r>
          </w:p>
          <w:p w:rsidR="00804FA5" w:rsidRPr="002734B9" w:rsidRDefault="00804FA5" w:rsidP="00EA1340">
            <w:pPr>
              <w:spacing w:line="276" w:lineRule="auto"/>
              <w:rPr>
                <w:rFonts w:cs="Arial"/>
                <w:sz w:val="20"/>
              </w:rPr>
            </w:pPr>
          </w:p>
          <w:p w:rsidR="00804FA5" w:rsidRPr="002734B9" w:rsidRDefault="00804FA5" w:rsidP="00EA1340">
            <w:pPr>
              <w:spacing w:line="276" w:lineRule="auto"/>
              <w:rPr>
                <w:rFonts w:cs="Arial"/>
                <w:b/>
                <w:sz w:val="20"/>
              </w:rPr>
            </w:pPr>
            <w:r w:rsidRPr="002734B9">
              <w:rPr>
                <w:rFonts w:cs="Arial"/>
                <w:b/>
                <w:sz w:val="20"/>
              </w:rPr>
              <w:t>Mobile Schriffreinigungsgeräte</w:t>
            </w:r>
          </w:p>
          <w:p w:rsidR="00E46921" w:rsidRPr="00E46921" w:rsidRDefault="00E46921" w:rsidP="00E46921">
            <w:pPr>
              <w:rPr>
                <w:sz w:val="20"/>
              </w:rPr>
            </w:pPr>
            <w:r w:rsidRPr="00E46921">
              <w:rPr>
                <w:sz w:val="20"/>
              </w:rPr>
              <w:t>Es muss ein ausreichender Rückhalt des abgereinigten Bewuchses durch Auffang- und Filtrationssysteme erreicht werden, um eine Beeinträchtigung des Gewässers auszuschließen. Filtrat und Filterrückstand müssen fachgerecht entsorgt werden. Darüberhinausgehende allgemeine oder lokale Regelungen sind zu beachten.</w:t>
            </w:r>
          </w:p>
          <w:p w:rsidR="00804FA5" w:rsidRPr="00E46921" w:rsidRDefault="00804FA5" w:rsidP="00EA1340">
            <w:pPr>
              <w:spacing w:line="276" w:lineRule="auto"/>
              <w:rPr>
                <w:rFonts w:cs="Arial"/>
                <w:sz w:val="20"/>
              </w:rPr>
            </w:pPr>
          </w:p>
          <w:p w:rsidR="00804FA5" w:rsidRPr="00E46921" w:rsidRDefault="00804FA5" w:rsidP="00E46921">
            <w:pPr>
              <w:rPr>
                <w:sz w:val="20"/>
              </w:rPr>
            </w:pPr>
            <w:bookmarkStart w:id="8" w:name="_Hlk84429289"/>
            <w:r w:rsidRPr="00E46921">
              <w:rPr>
                <w:sz w:val="20"/>
              </w:rPr>
              <w:t xml:space="preserve">Es muss nachgewiesen werden, dass </w:t>
            </w:r>
            <w:bookmarkEnd w:id="8"/>
            <w:r w:rsidRPr="00E46921">
              <w:rPr>
                <w:sz w:val="20"/>
              </w:rPr>
              <w:t>95 % des Bewuchses aufgefangen werden und nicht in das Gewässer gelangen.</w:t>
            </w:r>
          </w:p>
          <w:p w:rsidR="00804FA5" w:rsidRPr="002734B9" w:rsidRDefault="00804FA5" w:rsidP="00EA1340">
            <w:pPr>
              <w:spacing w:line="276" w:lineRule="auto"/>
              <w:rPr>
                <w:rFonts w:cs="Arial"/>
                <w:sz w:val="20"/>
              </w:rPr>
            </w:pPr>
          </w:p>
          <w:p w:rsidR="00804FA5" w:rsidRPr="002734B9" w:rsidRDefault="00804FA5" w:rsidP="00EA1340">
            <w:pPr>
              <w:spacing w:line="276" w:lineRule="auto"/>
              <w:rPr>
                <w:rFonts w:cs="Arial"/>
                <w:b/>
                <w:sz w:val="20"/>
              </w:rPr>
            </w:pPr>
            <w:r w:rsidRPr="002734B9">
              <w:rPr>
                <w:rFonts w:cs="Arial"/>
                <w:b/>
                <w:sz w:val="20"/>
              </w:rPr>
              <w:t>Stationäre Schiffsreinigungsanlagen</w:t>
            </w:r>
          </w:p>
          <w:p w:rsidR="008E114D" w:rsidRPr="001F4734" w:rsidRDefault="008E114D" w:rsidP="001F4734">
            <w:pPr>
              <w:rPr>
                <w:sz w:val="20"/>
              </w:rPr>
            </w:pPr>
            <w:r w:rsidRPr="001F4734">
              <w:rPr>
                <w:sz w:val="20"/>
              </w:rPr>
              <w:t>Es muss ein ausreichender Rückhalt des abgereinigten Bewuchses durch Auffang- und Filtrationssysteme erreicht werden, um eine Beeinträchtigung des Gewässers auszuschließen. Filtrat und Filterrückstand müssen fachgerecht entsorgt werden. Darüberhinausgehende allgemeine oder lokale Regelungen sind zu beachten.</w:t>
            </w:r>
          </w:p>
          <w:p w:rsidR="00804FA5" w:rsidRPr="002734B9" w:rsidRDefault="00804FA5" w:rsidP="00EA1340">
            <w:pPr>
              <w:pStyle w:val="AnhangAufzhlungBuchstabe"/>
              <w:numPr>
                <w:ilvl w:val="0"/>
                <w:numId w:val="0"/>
              </w:numPr>
              <w:spacing w:line="276" w:lineRule="auto"/>
              <w:rPr>
                <w:rFonts w:ascii="Arial" w:hAnsi="Arial" w:cs="Arial"/>
                <w:szCs w:val="20"/>
              </w:rPr>
            </w:pPr>
            <w:r w:rsidRPr="002734B9">
              <w:rPr>
                <w:rFonts w:ascii="Arial" w:hAnsi="Arial" w:cs="Arial"/>
                <w:szCs w:val="20"/>
              </w:rPr>
              <w:lastRenderedPageBreak/>
              <w:t>Es muss nachgewiesen werden, dass 95 % des Bewuchses aufgefangen werden und nicht in das Gewässer gelangen.</w:t>
            </w:r>
          </w:p>
        </w:tc>
      </w:tr>
      <w:tr w:rsidR="009442C2" w:rsidRPr="002734B9" w:rsidTr="009442C2">
        <w:trPr>
          <w:trHeight w:val="283"/>
        </w:trPr>
        <w:tc>
          <w:tcPr>
            <w:tcW w:w="1139" w:type="dxa"/>
            <w:shd w:val="clear" w:color="auto" w:fill="F2F2F2" w:themeFill="background1" w:themeFillShade="F2"/>
          </w:tcPr>
          <w:p w:rsidR="009442C2" w:rsidRPr="009442C2" w:rsidRDefault="009442C2" w:rsidP="00EA1340">
            <w:pPr>
              <w:spacing w:line="276" w:lineRule="auto"/>
              <w:jc w:val="both"/>
              <w:rPr>
                <w:rFonts w:cs="Arial"/>
                <w:b/>
                <w:sz w:val="20"/>
              </w:rPr>
            </w:pPr>
            <w:r w:rsidRPr="009442C2">
              <w:rPr>
                <w:rFonts w:cs="Arial"/>
                <w:b/>
                <w:sz w:val="20"/>
              </w:rPr>
              <w:lastRenderedPageBreak/>
              <w:t>3.3</w:t>
            </w:r>
          </w:p>
        </w:tc>
        <w:tc>
          <w:tcPr>
            <w:tcW w:w="13457" w:type="dxa"/>
            <w:gridSpan w:val="2"/>
            <w:shd w:val="clear" w:color="auto" w:fill="F2F2F2" w:themeFill="background1" w:themeFillShade="F2"/>
          </w:tcPr>
          <w:p w:rsidR="009442C2" w:rsidRPr="009442C2" w:rsidRDefault="009442C2" w:rsidP="00EA1340">
            <w:pPr>
              <w:spacing w:line="276" w:lineRule="auto"/>
              <w:rPr>
                <w:rFonts w:cs="Arial"/>
                <w:b/>
                <w:sz w:val="20"/>
              </w:rPr>
            </w:pPr>
            <w:r w:rsidRPr="009442C2">
              <w:rPr>
                <w:rFonts w:cs="Arial"/>
                <w:b/>
                <w:sz w:val="20"/>
              </w:rPr>
              <w:t>Werbeaussagen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804FA5" w:rsidRPr="009442C2" w:rsidRDefault="009442C2" w:rsidP="00EA1340">
            <w:pPr>
              <w:spacing w:line="276" w:lineRule="auto"/>
              <w:rPr>
                <w:rFonts w:cs="Arial"/>
                <w:sz w:val="20"/>
              </w:rPr>
            </w:pPr>
            <w:r w:rsidRPr="009442C2">
              <w:rPr>
                <w:rFonts w:cs="Arial"/>
                <w:sz w:val="20"/>
              </w:rPr>
              <w:t>ALLE</w:t>
            </w:r>
          </w:p>
        </w:tc>
        <w:tc>
          <w:tcPr>
            <w:tcW w:w="9781" w:type="dxa"/>
          </w:tcPr>
          <w:p w:rsidR="00804FA5" w:rsidRPr="002734B9" w:rsidRDefault="00804FA5" w:rsidP="00EA1340">
            <w:pPr>
              <w:spacing w:line="276" w:lineRule="auto"/>
              <w:rPr>
                <w:rFonts w:cs="Arial"/>
                <w:sz w:val="20"/>
              </w:rPr>
            </w:pPr>
            <w:r w:rsidRPr="002734B9">
              <w:rPr>
                <w:rFonts w:cs="Arial"/>
                <w:sz w:val="20"/>
              </w:rPr>
              <w:t>Die Art der Unterwasserbeschichtung bzw. der Bewuchsschutzsysteme ist im Zusammenhang mit der Produktbezeichnung an geeigneter Stelle auf dem Gebinde oder der Verpackung zu nennen.</w:t>
            </w:r>
          </w:p>
          <w:p w:rsidR="00804FA5" w:rsidRPr="002734B9" w:rsidRDefault="00804FA5" w:rsidP="00EA1340">
            <w:pPr>
              <w:spacing w:line="276" w:lineRule="auto"/>
              <w:rPr>
                <w:rFonts w:cs="Arial"/>
                <w:sz w:val="20"/>
              </w:rPr>
            </w:pPr>
            <w:r w:rsidRPr="002734B9">
              <w:rPr>
                <w:rFonts w:cs="Arial"/>
                <w:sz w:val="20"/>
              </w:rPr>
              <w:t>Werbeaussagen dürfen keine die Gefahren verharmlosenden Angaben im Sinne des Artikels 25 Abs. 4 der CLP-Verordnung 2008/1272/EG, wie z. B. „Nicht giftig“, „Nicht gesundheitsschädlich“ und dergleichen aufweisen.</w:t>
            </w:r>
          </w:p>
          <w:p w:rsidR="00804FA5" w:rsidRPr="002734B9" w:rsidRDefault="00804FA5" w:rsidP="00EA1340">
            <w:pPr>
              <w:spacing w:line="276" w:lineRule="auto"/>
              <w:rPr>
                <w:rFonts w:cs="Arial"/>
                <w:sz w:val="20"/>
              </w:rPr>
            </w:pPr>
            <w:r w:rsidRPr="002734B9">
              <w:rPr>
                <w:rFonts w:cs="Arial"/>
                <w:sz w:val="20"/>
              </w:rPr>
              <w:t xml:space="preserve">Werbeaussagen, die Namensteile oder Bezeichnungen enthalten wie „Bio-“, „Öko“-, „Natur-“, oder „Nano-“ u. ä., sind nicht zulässig.  </w:t>
            </w:r>
          </w:p>
        </w:tc>
      </w:tr>
      <w:tr w:rsidR="006D6401" w:rsidRPr="002734B9" w:rsidTr="006D6401">
        <w:trPr>
          <w:trHeight w:val="283"/>
        </w:trPr>
        <w:tc>
          <w:tcPr>
            <w:tcW w:w="1139" w:type="dxa"/>
            <w:shd w:val="clear" w:color="auto" w:fill="F2F2F2" w:themeFill="background1" w:themeFillShade="F2"/>
          </w:tcPr>
          <w:p w:rsidR="006D6401" w:rsidRPr="002734B9" w:rsidRDefault="006D6401" w:rsidP="00EA1340">
            <w:pPr>
              <w:spacing w:line="276" w:lineRule="auto"/>
              <w:jc w:val="both"/>
              <w:rPr>
                <w:rFonts w:cs="Arial"/>
                <w:b/>
                <w:sz w:val="20"/>
              </w:rPr>
            </w:pPr>
            <w:r w:rsidRPr="002734B9">
              <w:rPr>
                <w:rFonts w:cs="Arial"/>
                <w:b/>
                <w:sz w:val="20"/>
              </w:rPr>
              <w:t>3.4</w:t>
            </w:r>
          </w:p>
        </w:tc>
        <w:tc>
          <w:tcPr>
            <w:tcW w:w="13457" w:type="dxa"/>
            <w:gridSpan w:val="2"/>
            <w:shd w:val="clear" w:color="auto" w:fill="F2F2F2" w:themeFill="background1" w:themeFillShade="F2"/>
          </w:tcPr>
          <w:p w:rsidR="006D6401" w:rsidRPr="006D6401" w:rsidRDefault="006D6401" w:rsidP="00EA1340">
            <w:pPr>
              <w:spacing w:line="276" w:lineRule="auto"/>
              <w:rPr>
                <w:rFonts w:cs="Arial"/>
                <w:b/>
                <w:sz w:val="20"/>
              </w:rPr>
            </w:pPr>
            <w:r w:rsidRPr="006D6401">
              <w:rPr>
                <w:rFonts w:cs="Arial"/>
                <w:b/>
                <w:sz w:val="20"/>
              </w:rPr>
              <w:t>Anwenderinformationen</w:t>
            </w:r>
          </w:p>
        </w:tc>
      </w:tr>
      <w:tr w:rsidR="00804FA5" w:rsidRPr="002734B9" w:rsidTr="00101D4D">
        <w:trPr>
          <w:trHeight w:val="283"/>
        </w:trPr>
        <w:tc>
          <w:tcPr>
            <w:tcW w:w="1139" w:type="dxa"/>
          </w:tcPr>
          <w:p w:rsidR="00804FA5" w:rsidRPr="002734B9" w:rsidRDefault="00804FA5" w:rsidP="00EA1340">
            <w:pPr>
              <w:spacing w:line="276" w:lineRule="auto"/>
              <w:jc w:val="both"/>
              <w:rPr>
                <w:rFonts w:cs="Arial"/>
                <w:b/>
                <w:sz w:val="20"/>
              </w:rPr>
            </w:pPr>
          </w:p>
        </w:tc>
        <w:tc>
          <w:tcPr>
            <w:tcW w:w="3676" w:type="dxa"/>
          </w:tcPr>
          <w:p w:rsidR="00804FA5" w:rsidRPr="00637763" w:rsidRDefault="00637763" w:rsidP="00EA1340">
            <w:pPr>
              <w:spacing w:line="276" w:lineRule="auto"/>
              <w:rPr>
                <w:rFonts w:cs="Arial"/>
                <w:sz w:val="20"/>
              </w:rPr>
            </w:pPr>
            <w:r w:rsidRPr="00637763">
              <w:rPr>
                <w:rFonts w:cs="Arial"/>
                <w:sz w:val="20"/>
              </w:rPr>
              <w:t>ALLE</w:t>
            </w:r>
          </w:p>
        </w:tc>
        <w:tc>
          <w:tcPr>
            <w:tcW w:w="9781" w:type="dxa"/>
          </w:tcPr>
          <w:p w:rsidR="00804FA5" w:rsidRPr="002734B9" w:rsidRDefault="00804FA5" w:rsidP="00EA1340">
            <w:pPr>
              <w:spacing w:line="276" w:lineRule="auto"/>
              <w:rPr>
                <w:rFonts w:cs="Arial"/>
                <w:sz w:val="20"/>
              </w:rPr>
            </w:pPr>
            <w:r w:rsidRPr="002734B9">
              <w:rPr>
                <w:rFonts w:cs="Arial"/>
                <w:sz w:val="20"/>
              </w:rPr>
              <w:t xml:space="preserve">Der Zeichennehmer legt dem Produkt Informationen bei, die eine sichere Verwendung des Produktes gewährleisten und alle wesentlichen Informationen zum Betrieb bzw. der Verwendung beinhalten. Darüber hinaus gelten die systemspezifischen Anforderungen gemäß 3.4.1 bis 3.4.3. Ein Hinweis muss auf dem Produkt angebracht sein, der darauf hinweist, dass dieses Produkt nur für Rumpfaußenbereiche zu verwenden ist. </w:t>
            </w:r>
          </w:p>
          <w:p w:rsidR="00804FA5" w:rsidRPr="002734B9" w:rsidRDefault="00804FA5" w:rsidP="00EA1340">
            <w:pPr>
              <w:spacing w:line="276" w:lineRule="auto"/>
              <w:jc w:val="both"/>
              <w:rPr>
                <w:rFonts w:cs="Arial"/>
                <w:sz w:val="20"/>
              </w:rPr>
            </w:pPr>
          </w:p>
          <w:p w:rsidR="00804FA5" w:rsidRPr="002734B9" w:rsidRDefault="00804FA5" w:rsidP="00EA1340">
            <w:pPr>
              <w:spacing w:line="276" w:lineRule="auto"/>
              <w:jc w:val="both"/>
              <w:rPr>
                <w:rFonts w:cs="Arial"/>
                <w:b/>
                <w:sz w:val="20"/>
              </w:rPr>
            </w:pPr>
            <w:r w:rsidRPr="002734B9">
              <w:rPr>
                <w:rFonts w:cs="Arial"/>
                <w:b/>
                <w:sz w:val="20"/>
              </w:rPr>
              <w:t>Beschichtungen</w:t>
            </w:r>
          </w:p>
          <w:p w:rsidR="00804FA5" w:rsidRPr="002734B9" w:rsidRDefault="00804FA5" w:rsidP="00EA1340">
            <w:pPr>
              <w:spacing w:line="276" w:lineRule="auto"/>
              <w:rPr>
                <w:rFonts w:cs="Arial"/>
                <w:sz w:val="20"/>
              </w:rPr>
            </w:pPr>
            <w:r w:rsidRPr="002734B9">
              <w:rPr>
                <w:rFonts w:cs="Arial"/>
                <w:sz w:val="20"/>
              </w:rPr>
              <w:t>Die wesentlichen Bestandteile des Beschichtungssystems sind auf dem Gebinde und dem technischen Merkblatt anzugeben. Sofern es sich um ein Mehrschichtsystem handelt, sind alle Schichten zu benennen. Zusätzlich zu den gemäß CLP-Verordnung (EG) Nr. 1272/2008 verpflichtenden P-Sätzen ist in gut lesbarer Form Folgendes anzubringen (vergleichbare Formulierungen / P-Sätze sind zugelassen):</w:t>
            </w:r>
          </w:p>
          <w:p w:rsidR="00804FA5" w:rsidRPr="002734B9" w:rsidRDefault="00804FA5" w:rsidP="00EA1340">
            <w:pPr>
              <w:spacing w:line="276" w:lineRule="auto"/>
              <w:rPr>
                <w:rFonts w:cs="Arial"/>
                <w:sz w:val="20"/>
              </w:rPr>
            </w:pPr>
            <w:r w:rsidRPr="002734B9">
              <w:rPr>
                <w:rFonts w:cs="Arial"/>
                <w:sz w:val="20"/>
              </w:rPr>
              <w:t>• „Für Kinder unzugänglich aufzubewahren“</w:t>
            </w:r>
          </w:p>
          <w:p w:rsidR="00804FA5" w:rsidRPr="002734B9" w:rsidRDefault="00804FA5" w:rsidP="00EA1340">
            <w:pPr>
              <w:spacing w:line="276" w:lineRule="auto"/>
              <w:rPr>
                <w:rFonts w:cs="Arial"/>
                <w:sz w:val="20"/>
              </w:rPr>
            </w:pPr>
            <w:r w:rsidRPr="002734B9">
              <w:rPr>
                <w:rFonts w:cs="Arial"/>
                <w:sz w:val="20"/>
              </w:rPr>
              <w:t>• „Während der Verarbeitung und Trocknung für gründliche Belüftung sorgen“</w:t>
            </w:r>
          </w:p>
          <w:p w:rsidR="00804FA5" w:rsidRPr="002734B9" w:rsidRDefault="00804FA5" w:rsidP="00EA1340">
            <w:pPr>
              <w:spacing w:line="276" w:lineRule="auto"/>
              <w:rPr>
                <w:rFonts w:cs="Arial"/>
                <w:sz w:val="20"/>
              </w:rPr>
            </w:pPr>
            <w:r w:rsidRPr="002734B9">
              <w:rPr>
                <w:rFonts w:cs="Arial"/>
                <w:sz w:val="20"/>
              </w:rPr>
              <w:t>• „Essen, Trinken und Rauchen während der Verarbeitung dieses Produktes ist zu vermeiden“</w:t>
            </w:r>
          </w:p>
          <w:p w:rsidR="00804FA5" w:rsidRPr="002734B9" w:rsidRDefault="00804FA5" w:rsidP="00EA1340">
            <w:pPr>
              <w:spacing w:line="276" w:lineRule="auto"/>
              <w:rPr>
                <w:rFonts w:cs="Arial"/>
                <w:sz w:val="20"/>
              </w:rPr>
            </w:pPr>
            <w:r w:rsidRPr="002734B9">
              <w:rPr>
                <w:rFonts w:cs="Arial"/>
                <w:sz w:val="20"/>
              </w:rPr>
              <w:t>• „Bei Berührung mit den Augen oder der Haut sofort gründlich mit Wasser abspülen“</w:t>
            </w:r>
          </w:p>
          <w:p w:rsidR="00804FA5" w:rsidRPr="002734B9" w:rsidRDefault="00804FA5" w:rsidP="00EA1340">
            <w:pPr>
              <w:spacing w:line="276" w:lineRule="auto"/>
              <w:rPr>
                <w:rFonts w:cs="Arial"/>
                <w:sz w:val="20"/>
              </w:rPr>
            </w:pPr>
            <w:r w:rsidRPr="002734B9">
              <w:rPr>
                <w:rFonts w:cs="Arial"/>
                <w:sz w:val="20"/>
              </w:rPr>
              <w:t>• „Inhalt/Behälter entsprechend den örtlichen Vorschriften der Entsorgung zuführen.“</w:t>
            </w:r>
          </w:p>
          <w:p w:rsidR="00804FA5" w:rsidRPr="002734B9" w:rsidRDefault="00804FA5" w:rsidP="00EA1340">
            <w:pPr>
              <w:spacing w:line="276" w:lineRule="auto"/>
              <w:jc w:val="both"/>
              <w:rPr>
                <w:rFonts w:cs="Arial"/>
                <w:sz w:val="20"/>
              </w:rPr>
            </w:pPr>
          </w:p>
          <w:p w:rsidR="00804FA5" w:rsidRPr="002734B9" w:rsidRDefault="00804FA5" w:rsidP="00EA1340">
            <w:pPr>
              <w:spacing w:line="276" w:lineRule="auto"/>
              <w:jc w:val="both"/>
              <w:rPr>
                <w:rFonts w:cs="Arial"/>
                <w:b/>
                <w:sz w:val="20"/>
              </w:rPr>
            </w:pPr>
            <w:r w:rsidRPr="002734B9">
              <w:rPr>
                <w:rFonts w:cs="Arial"/>
                <w:b/>
                <w:sz w:val="20"/>
              </w:rPr>
              <w:t>Reinigungsfähige Hartbeschichtungen</w:t>
            </w:r>
          </w:p>
          <w:p w:rsidR="001F4734" w:rsidRDefault="001F4734" w:rsidP="001F4734">
            <w:r w:rsidRPr="001F4734">
              <w:rPr>
                <w:sz w:val="20"/>
              </w:rPr>
              <w:t xml:space="preserve">Den reinigungsfähigen Hartbeschichtungen muss Informationsmaterial beiliegen, aus welchem hervorgeht, dass die Wirksamkeit nur in Kombination mit regelmäßiger Reinigung gegeben ist. Zudem muss eine Empfehlung für die zeitlichen Abstände und geeignete Verfahren der Reinigung bei verschiedenen </w:t>
            </w:r>
            <w:r w:rsidRPr="001F4734">
              <w:rPr>
                <w:sz w:val="20"/>
              </w:rPr>
              <w:lastRenderedPageBreak/>
              <w:t>Gewässertypen und Aktivitätsprofilen enthalten sein. Es sollte empfohlen werden, eine Kontrollplatte am Liegeplatz auszuhängen, um die Bewuchsbildung dort einfacher beobachten zu können</w:t>
            </w:r>
            <w:r w:rsidRPr="006C3FE4">
              <w:t>.</w:t>
            </w:r>
          </w:p>
          <w:p w:rsidR="00804FA5" w:rsidRPr="002734B9" w:rsidRDefault="00804FA5" w:rsidP="00EA1340">
            <w:pPr>
              <w:spacing w:line="276" w:lineRule="auto"/>
              <w:jc w:val="both"/>
              <w:rPr>
                <w:rFonts w:cs="Arial"/>
                <w:sz w:val="20"/>
              </w:rPr>
            </w:pPr>
          </w:p>
          <w:p w:rsidR="00804FA5" w:rsidRPr="002734B9" w:rsidRDefault="00804FA5" w:rsidP="00EA1340">
            <w:pPr>
              <w:spacing w:line="276" w:lineRule="auto"/>
              <w:rPr>
                <w:rFonts w:cs="Arial"/>
                <w:sz w:val="20"/>
              </w:rPr>
            </w:pPr>
            <w:r w:rsidRPr="002734B9">
              <w:rPr>
                <w:rFonts w:cs="Arial"/>
                <w:b/>
                <w:sz w:val="20"/>
              </w:rPr>
              <w:t>Mobile Schiffsreinigungsgeräte und Stationäre Schiffsreinigungsanlagen</w:t>
            </w:r>
          </w:p>
          <w:p w:rsidR="00C12399" w:rsidRPr="00C12399" w:rsidRDefault="00C12399" w:rsidP="00C12399">
            <w:pPr>
              <w:rPr>
                <w:sz w:val="20"/>
              </w:rPr>
            </w:pPr>
            <w:r w:rsidRPr="00C12399">
              <w:rPr>
                <w:sz w:val="20"/>
              </w:rPr>
              <w:t>Es ist dauerhaft an geeigneter Stelle gut lesbar darauf hinzuweisen, dass die Benutzung des Reinigungsverfahrens für biozidhaltige Antifoulingbeschichtungen ohne behördliche Genehmigung in Deutschland nicht zulässig ist, da dabei umweltschädliche Biozide in Gewässer eingetragen werden.</w:t>
            </w:r>
          </w:p>
          <w:p w:rsidR="00C12399" w:rsidRPr="00C12399" w:rsidRDefault="00C12399" w:rsidP="00C12399">
            <w:pPr>
              <w:rPr>
                <w:sz w:val="20"/>
              </w:rPr>
            </w:pPr>
            <w:r w:rsidRPr="00C12399">
              <w:rPr>
                <w:sz w:val="20"/>
              </w:rPr>
              <w:t xml:space="preserve">Es ist darauf hinzuweisen, dass die Entfernung von Bewuchs im Gewässer in-situ nicht zulässig ist, wenn der entfernte Bewuchs nicht aufgefangen und entsorgt und das Waschwasser durch geeignete Aufbereitungsverfahren gereinigt wird. </w:t>
            </w:r>
          </w:p>
          <w:p w:rsidR="00804FA5" w:rsidRPr="00C12399" w:rsidRDefault="00C12399" w:rsidP="00C12399">
            <w:r w:rsidRPr="00C12399">
              <w:rPr>
                <w:sz w:val="20"/>
              </w:rPr>
              <w:t>Das mobile Schiffsreinigungsgerät muss zusammen mit einem Reinigungs-Leitfaden angeboten werden, aus welchem hervorgeht, in welchen Gewässertypen dieses wirksam ist, wie die Reinigung genau durchzuführen ist, in welchem Intervall die Reinigung je nach Gewässertyp durchzuführen ist und auf welchen Arten von Beschichtungen dieses Reinigungsgerät funktioniert. Weiterhin sollte der Leitfaden eine Berichtsdokumentation vorschreiben, in dem Termine, Orte und Mengen der Reinigung dokumentiert werden. Darüber hinaus sollte empfohlen werden, eine zusätzliche Testplatte am Liegeplatz auszubringen, um anhand der dortigen Bewuchsbildung die Reinigungsnotwendigkeit am Schiff abschätzen zu können.</w:t>
            </w:r>
          </w:p>
        </w:tc>
      </w:tr>
    </w:tbl>
    <w:p w:rsidR="00D87E75" w:rsidRPr="004B7B3A" w:rsidRDefault="00D87E75" w:rsidP="000343BE">
      <w:pPr>
        <w:jc w:val="both"/>
        <w:rPr>
          <w:rFonts w:cs="Arial"/>
          <w:szCs w:val="22"/>
        </w:rPr>
      </w:pPr>
    </w:p>
    <w:p w:rsidR="00D87E75" w:rsidRPr="004B7B3A" w:rsidRDefault="00D87E75" w:rsidP="000343BE">
      <w:pPr>
        <w:jc w:val="both"/>
        <w:rPr>
          <w:rFonts w:cs="Arial"/>
          <w:szCs w:val="22"/>
        </w:rPr>
      </w:pPr>
    </w:p>
    <w:p w:rsidR="00D41A9A" w:rsidRPr="004B7B3A" w:rsidRDefault="00D41A9A" w:rsidP="000818D8">
      <w:pPr>
        <w:tabs>
          <w:tab w:val="left" w:pos="851"/>
        </w:tabs>
        <w:rPr>
          <w:rFonts w:cs="Arial"/>
          <w:szCs w:val="22"/>
        </w:rPr>
      </w:pPr>
    </w:p>
    <w:sectPr w:rsidR="00D41A9A" w:rsidRPr="004B7B3A" w:rsidSect="00804FA5">
      <w:headerReference w:type="default" r:id="rId7"/>
      <w:footerReference w:type="default" r:id="rId8"/>
      <w:type w:val="continuous"/>
      <w:pgSz w:w="16840" w:h="11907" w:orient="landscape" w:code="9"/>
      <w:pgMar w:top="1418" w:right="1531" w:bottom="1276"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99D" w:rsidRDefault="00B3299D">
      <w:r>
        <w:separator/>
      </w:r>
    </w:p>
  </w:endnote>
  <w:endnote w:type="continuationSeparator" w:id="0">
    <w:p w:rsidR="00B3299D" w:rsidRDefault="00B3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0343BE" w:rsidP="00101D4D">
    <w:pPr>
      <w:pStyle w:val="Fuzeile"/>
      <w:tabs>
        <w:tab w:val="clear" w:pos="4536"/>
        <w:tab w:val="clear" w:pos="9072"/>
        <w:tab w:val="center" w:pos="6521"/>
      </w:tabs>
      <w:ind w:right="360"/>
    </w:pPr>
    <w:r w:rsidRPr="000E4C21">
      <w:rPr>
        <w:rFonts w:cs="Arial"/>
        <w:szCs w:val="22"/>
      </w:rPr>
      <w:t>Anlage 1 zum Vertrag</w:t>
    </w:r>
    <w:r w:rsidR="00101D4D">
      <w:rPr>
        <w:rFonts w:cs="Arial"/>
        <w:szCs w:val="22"/>
      </w:rPr>
      <w:tab/>
    </w:r>
    <w:r w:rsidRPr="000E4C21">
      <w:rPr>
        <w:rFonts w:cs="Arial"/>
        <w:szCs w:val="22"/>
      </w:rPr>
      <w:tab/>
    </w:r>
    <w:r w:rsidRPr="000E4C21">
      <w:rPr>
        <w:rStyle w:val="Seitenzahl"/>
        <w:rFonts w:cs="Arial"/>
        <w:szCs w:val="22"/>
      </w:rPr>
      <w:fldChar w:fldCharType="begin"/>
    </w:r>
    <w:r w:rsidRPr="000E4C21">
      <w:rPr>
        <w:rStyle w:val="Seitenzahl"/>
        <w:rFonts w:cs="Arial"/>
        <w:szCs w:val="22"/>
      </w:rPr>
      <w:instrText xml:space="preserve"> PAGE </w:instrText>
    </w:r>
    <w:r w:rsidRPr="000E4C21">
      <w:rPr>
        <w:rStyle w:val="Seitenzahl"/>
        <w:rFonts w:cs="Arial"/>
        <w:szCs w:val="22"/>
      </w:rPr>
      <w:fldChar w:fldCharType="separate"/>
    </w:r>
    <w:r w:rsidR="00CF723D">
      <w:rPr>
        <w:rStyle w:val="Seitenzahl"/>
        <w:rFonts w:cs="Arial"/>
        <w:noProof/>
        <w:szCs w:val="22"/>
      </w:rPr>
      <w:t>2</w:t>
    </w:r>
    <w:r w:rsidRPr="000E4C21">
      <w:rPr>
        <w:rStyle w:val="Seitenzahl"/>
        <w:rFonts w:cs="Arial"/>
        <w:szCs w:val="22"/>
      </w:rPr>
      <w:fldChar w:fldCharType="end"/>
    </w:r>
    <w:r w:rsidR="008938F3">
      <w:rPr>
        <w:rFonts w:cs="Arial"/>
        <w:szCs w:val="22"/>
      </w:rPr>
      <w:t>/</w:t>
    </w:r>
    <w:r w:rsidR="008938F3">
      <w:rPr>
        <w:rFonts w:cs="Arial"/>
        <w:szCs w:val="22"/>
      </w:rPr>
      <w:fldChar w:fldCharType="begin"/>
    </w:r>
    <w:r w:rsidR="008938F3">
      <w:rPr>
        <w:rFonts w:cs="Arial"/>
        <w:szCs w:val="22"/>
      </w:rPr>
      <w:instrText xml:space="preserve"> NUMPAGES  \* Arabic  \* MERGEFORMAT </w:instrText>
    </w:r>
    <w:r w:rsidR="008938F3">
      <w:rPr>
        <w:rFonts w:cs="Arial"/>
        <w:szCs w:val="22"/>
      </w:rPr>
      <w:fldChar w:fldCharType="separate"/>
    </w:r>
    <w:r w:rsidR="00CF723D">
      <w:rPr>
        <w:rFonts w:cs="Arial"/>
        <w:noProof/>
        <w:szCs w:val="22"/>
      </w:rPr>
      <w:t>2</w:t>
    </w:r>
    <w:r w:rsidR="008938F3">
      <w:rPr>
        <w:rFonts w:cs="Arial"/>
        <w:szCs w:val="22"/>
      </w:rPr>
      <w:fldChar w:fldCharType="end"/>
    </w:r>
    <w:r w:rsidRPr="000E4C21">
      <w:rPr>
        <w:rFonts w:cs="Arial"/>
        <w:szCs w:val="22"/>
      </w:rPr>
      <w:tab/>
    </w:r>
    <w:r w:rsidR="00101D4D">
      <w:rPr>
        <w:rFonts w:cs="Arial"/>
        <w:szCs w:val="22"/>
      </w:rPr>
      <w:tab/>
    </w:r>
    <w:r w:rsidR="00101D4D">
      <w:rPr>
        <w:rFonts w:cs="Arial"/>
        <w:szCs w:val="22"/>
      </w:rPr>
      <w:tab/>
    </w:r>
    <w:r w:rsidR="00101D4D">
      <w:rPr>
        <w:rFonts w:cs="Arial"/>
        <w:szCs w:val="22"/>
      </w:rPr>
      <w:tab/>
      <w:t xml:space="preserve">         </w:t>
    </w:r>
    <w:r w:rsidR="000E7117">
      <w:rPr>
        <w:rFonts w:cs="Arial"/>
        <w:szCs w:val="22"/>
      </w:rPr>
      <w:t>DE-</w:t>
    </w:r>
    <w:r w:rsidRPr="000E4C21">
      <w:rPr>
        <w:rFonts w:cs="Arial"/>
        <w:szCs w:val="22"/>
      </w:rPr>
      <w:t xml:space="preserve">UZ </w:t>
    </w:r>
    <w:r w:rsidR="00402BE6">
      <w:rPr>
        <w:rFonts w:cs="Arial"/>
        <w:szCs w:val="22"/>
      </w:rPr>
      <w:t>221</w:t>
    </w:r>
    <w:r w:rsidRPr="000E4C21">
      <w:rPr>
        <w:rFonts w:cs="Arial"/>
        <w:szCs w:val="22"/>
      </w:rPr>
      <w:t xml:space="preserve"> Ausgabe </w:t>
    </w:r>
    <w:r w:rsidR="00AD3219">
      <w:rPr>
        <w:rStyle w:val="Seitenzahl"/>
        <w:rFonts w:cs="Arial"/>
        <w:szCs w:val="22"/>
      </w:rPr>
      <w:t>Januar</w:t>
    </w:r>
    <w:r w:rsidR="000740FE">
      <w:rPr>
        <w:rStyle w:val="Seitenzahl"/>
        <w:rFonts w:cs="Arial"/>
        <w:szCs w:val="22"/>
      </w:rPr>
      <w:t xml:space="preserve"> 20</w:t>
    </w:r>
    <w:r w:rsidR="00AD3219">
      <w:rPr>
        <w:rStyle w:val="Seitenzahl"/>
        <w:rFonts w:cs="Arial"/>
        <w:szCs w:val="22"/>
      </w:rPr>
      <w:t>2</w:t>
    </w:r>
    <w:r w:rsidR="00402BE6">
      <w:rPr>
        <w:rStyle w:val="Seitenzahl"/>
        <w:rFonts w:cs="Arial"/>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99D" w:rsidRDefault="00B3299D">
      <w:r>
        <w:separator/>
      </w:r>
    </w:p>
  </w:footnote>
  <w:footnote w:type="continuationSeparator" w:id="0">
    <w:p w:rsidR="00B3299D" w:rsidRDefault="00B3299D">
      <w:r>
        <w:continuationSeparator/>
      </w:r>
    </w:p>
  </w:footnote>
  <w:footnote w:id="1">
    <w:p w:rsidR="004F5CCD" w:rsidRDefault="004F5CCD" w:rsidP="004F5CCD">
      <w:pPr>
        <w:pStyle w:val="Funotentext"/>
      </w:pPr>
      <w:r>
        <w:rPr>
          <w:rStyle w:val="Funotenzeichen"/>
        </w:rPr>
        <w:footnoteRef/>
      </w:r>
      <w:r>
        <w:t xml:space="preserve"> </w:t>
      </w:r>
      <w:r>
        <w:tab/>
      </w:r>
      <w:r w:rsidRPr="002975EF">
        <w:t xml:space="preserve">Es gilt die aktuelle Fassung der Kandidatenliste zum Zeitpunkt der Antragsstellung. Sie befindet sich unter: </w:t>
      </w:r>
      <w:hyperlink r:id="rId1" w:history="1">
        <w:r w:rsidRPr="002975EF">
          <w:rPr>
            <w:rStyle w:val="Hyperlink"/>
          </w:rPr>
          <w:t>https://www.echa.europa.eu/candidate-list-table</w:t>
        </w:r>
      </w:hyperlink>
      <w:r w:rsidRPr="002975EF">
        <w:t>.</w:t>
      </w:r>
    </w:p>
  </w:footnote>
  <w:footnote w:id="2">
    <w:p w:rsidR="004F5CCD" w:rsidRDefault="004F5CCD" w:rsidP="004F5CCD">
      <w:pPr>
        <w:pStyle w:val="Funotentext"/>
      </w:pPr>
      <w:r>
        <w:rPr>
          <w:rStyle w:val="Funotenzeichen"/>
        </w:rPr>
        <w:footnoteRef/>
      </w:r>
      <w:r>
        <w:t xml:space="preserve"> </w:t>
      </w:r>
      <w:r>
        <w:tab/>
      </w:r>
      <w:r w:rsidRPr="00C525E4">
        <w:t xml:space="preserve">Die harmonisierten Einstufungen und Kennzeichnungen gefährlicher Stoffe befinden sich in Anhang VI, Teil 3 der CLP-Verordnung. Weiterhin ist auf der Internetseite der Europäischen Chemikalienagentur ECHA ein umfassendes Einstufungs- und Kennzeichnungsverzeichnis öffentlich zugänglich, das darüber hinaus alle Selbsteinstufungen von gefährlichen Stoffen durch die Hersteller enthält: </w:t>
      </w:r>
      <w:hyperlink r:id="rId2" w:history="1">
        <w:r w:rsidRPr="00C525E4">
          <w:rPr>
            <w:rStyle w:val="Hyperlink"/>
          </w:rPr>
          <w:t>https://echa.europa.eu/de/regulations/clp/cl-inventory</w:t>
        </w:r>
      </w:hyperlink>
      <w:r w:rsidRPr="00C525E4">
        <w:t>.</w:t>
      </w:r>
    </w:p>
  </w:footnote>
  <w:footnote w:id="3">
    <w:p w:rsidR="0051049E" w:rsidRDefault="0051049E" w:rsidP="0051049E">
      <w:pPr>
        <w:pStyle w:val="Funotentext"/>
      </w:pPr>
      <w:r>
        <w:rPr>
          <w:rStyle w:val="Funotenzeichen"/>
        </w:rPr>
        <w:footnoteRef/>
      </w:r>
      <w:r>
        <w:t xml:space="preserve"> </w:t>
      </w:r>
      <w:r>
        <w:tab/>
      </w:r>
      <w:r w:rsidRPr="00A81A4C">
        <w:t xml:space="preserve">In Anlehnung an die </w:t>
      </w:r>
      <w:proofErr w:type="spellStart"/>
      <w:r w:rsidRPr="00A81A4C">
        <w:t>ChemVOCFarbV</w:t>
      </w:r>
      <w:proofErr w:type="spellEnd"/>
      <w:r w:rsidRPr="00A81A4C">
        <w:t xml:space="preserve"> (2004). Dort sind für Beschichtungsstoffe für Holz-, Metall- oder Kunststoffe VOC-Grenzwerte von 130 g/L (wasserbasiert) bzw. 300 g/L (lösemittelbasiert) vorgegeben.</w:t>
      </w:r>
    </w:p>
  </w:footnote>
  <w:footnote w:id="4">
    <w:p w:rsidR="0051049E" w:rsidRDefault="0051049E" w:rsidP="0051049E">
      <w:pPr>
        <w:pStyle w:val="Funotentext"/>
      </w:pPr>
      <w:r>
        <w:rPr>
          <w:rStyle w:val="Funotenzeichen"/>
        </w:rPr>
        <w:footnoteRef/>
      </w:r>
      <w:r>
        <w:t xml:space="preserve"> </w:t>
      </w:r>
      <w:r>
        <w:tab/>
      </w:r>
      <w:r w:rsidRPr="00A81A4C">
        <w:t xml:space="preserve">Aus typischen Produktrezepturen über den VOC Gehalt und die Anwendungsmengen errechnet. </w:t>
      </w:r>
    </w:p>
  </w:footnote>
  <w:footnote w:id="5">
    <w:p w:rsidR="0004748C" w:rsidRDefault="0004748C" w:rsidP="0004748C">
      <w:pPr>
        <w:pStyle w:val="Funotentext"/>
      </w:pPr>
      <w:r>
        <w:rPr>
          <w:rStyle w:val="Funotenzeichen"/>
        </w:rPr>
        <w:footnoteRef/>
      </w:r>
      <w:r>
        <w:t xml:space="preserve"> </w:t>
      </w:r>
      <w:r>
        <w:tab/>
      </w:r>
      <w:r w:rsidRPr="009C1EE0">
        <w:t xml:space="preserve">Datenbank „BfR-Empfehlungen zu Materialien für den Lebensmittelkontakt: XV. Silicone. Stand vom 01.06.2019 </w:t>
      </w:r>
      <w:hyperlink r:id="rId3" w:history="1">
        <w:r w:rsidRPr="009C1EE0">
          <w:rPr>
            <w:rStyle w:val="Hyperlink"/>
          </w:rPr>
          <w:t>https://bfr.ble.de/kse/faces/DBEmpfehlung.jsp</w:t>
        </w:r>
      </w:hyperlink>
      <w:r w:rsidRPr="009C1EE0">
        <w:t xml:space="preserve"> (Zugriff am 07.09.2020)</w:t>
      </w:r>
    </w:p>
  </w:footnote>
  <w:footnote w:id="6">
    <w:p w:rsidR="0004748C" w:rsidRDefault="0004748C" w:rsidP="0004748C">
      <w:pPr>
        <w:pStyle w:val="Funotentext"/>
      </w:pPr>
      <w:r>
        <w:rPr>
          <w:rStyle w:val="Funotenzeichen"/>
        </w:rPr>
        <w:footnoteRef/>
      </w:r>
      <w:r>
        <w:t xml:space="preserve"> </w:t>
      </w:r>
      <w:r>
        <w:tab/>
      </w:r>
      <w:hyperlink r:id="rId4" w:history="1">
        <w:r w:rsidRPr="009C1EE0">
          <w:rPr>
            <w:rStyle w:val="Hyperlink"/>
          </w:rPr>
          <w:t>https://www.umweltbundesamt.de/sites/default/files/medien/5620/dokumente/silikon-uebergangsempfehlung_2._aenderung.pdf</w:t>
        </w:r>
      </w:hyperlink>
      <w:r w:rsidRPr="0000573D">
        <w:t xml:space="preserve"> (Zugriff 07.09.2020)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3BE" w:rsidRDefault="00CF723D" w:rsidP="000343BE">
    <w:pPr>
      <w:pStyle w:val="Kopfzeile"/>
      <w:jc w:val="right"/>
    </w:pPr>
    <w:r>
      <w:rPr>
        <w:noProof/>
      </w:rPr>
      <w:drawing>
        <wp:inline distT="0" distB="0" distL="0" distR="0">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617AB8"/>
    <w:multiLevelType w:val="hybridMultilevel"/>
    <w:tmpl w:val="2368C93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971BE0"/>
    <w:multiLevelType w:val="hybridMultilevel"/>
    <w:tmpl w:val="905E0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B442CD"/>
    <w:multiLevelType w:val="hybridMultilevel"/>
    <w:tmpl w:val="8810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8A7261"/>
    <w:multiLevelType w:val="hybridMultilevel"/>
    <w:tmpl w:val="9DBA61E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4"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012C34"/>
    <w:multiLevelType w:val="hybridMultilevel"/>
    <w:tmpl w:val="9DBA61E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8"/>
  </w:num>
  <w:num w:numId="3">
    <w:abstractNumId w:val="5"/>
  </w:num>
  <w:num w:numId="4">
    <w:abstractNumId w:val="6"/>
  </w:num>
  <w:num w:numId="5">
    <w:abstractNumId w:val="7"/>
  </w:num>
  <w:num w:numId="6">
    <w:abstractNumId w:val="3"/>
  </w:num>
  <w:num w:numId="7">
    <w:abstractNumId w:val="13"/>
  </w:num>
  <w:num w:numId="8">
    <w:abstractNumId w:val="14"/>
  </w:num>
  <w:num w:numId="9">
    <w:abstractNumId w:val="11"/>
  </w:num>
  <w:num w:numId="10">
    <w:abstractNumId w:val="10"/>
  </w:num>
  <w:num w:numId="11">
    <w:abstractNumId w:val="9"/>
  </w:num>
  <w:num w:numId="12">
    <w:abstractNumId w:val="2"/>
  </w:num>
  <w:num w:numId="13">
    <w:abstractNumId w:val="12"/>
  </w:num>
  <w:num w:numId="14">
    <w:abstractNumId w:val="15"/>
  </w:num>
  <w:num w:numId="15">
    <w:abstractNumId w:val="1"/>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Y5vmHIb3pvDOmm2uELDKuHjI2WOgKwSsBXjzToZDzaatRnMglMvPeOXEWd2GlephyZ3NQLMCp6JpPeB2VsMQw==" w:salt="QPKCcYb6omjIIpKyqPr3i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0130"/>
    <w:rsid w:val="00023FFD"/>
    <w:rsid w:val="00024678"/>
    <w:rsid w:val="00024D2A"/>
    <w:rsid w:val="00031C37"/>
    <w:rsid w:val="000322DC"/>
    <w:rsid w:val="000336E5"/>
    <w:rsid w:val="000337EB"/>
    <w:rsid w:val="000343BE"/>
    <w:rsid w:val="000349B9"/>
    <w:rsid w:val="000352CA"/>
    <w:rsid w:val="00040881"/>
    <w:rsid w:val="0004315D"/>
    <w:rsid w:val="00044032"/>
    <w:rsid w:val="0004748C"/>
    <w:rsid w:val="00047575"/>
    <w:rsid w:val="00051146"/>
    <w:rsid w:val="000570E8"/>
    <w:rsid w:val="00057A7E"/>
    <w:rsid w:val="00060160"/>
    <w:rsid w:val="00060221"/>
    <w:rsid w:val="00063962"/>
    <w:rsid w:val="0006627D"/>
    <w:rsid w:val="00072725"/>
    <w:rsid w:val="000740FE"/>
    <w:rsid w:val="00075311"/>
    <w:rsid w:val="00077406"/>
    <w:rsid w:val="000815AE"/>
    <w:rsid w:val="000818D8"/>
    <w:rsid w:val="00085AD1"/>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1D4D"/>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4430"/>
    <w:rsid w:val="001859FD"/>
    <w:rsid w:val="00186C3C"/>
    <w:rsid w:val="001932DC"/>
    <w:rsid w:val="001936B6"/>
    <w:rsid w:val="00193DDD"/>
    <w:rsid w:val="00195D6C"/>
    <w:rsid w:val="001A3053"/>
    <w:rsid w:val="001A56CC"/>
    <w:rsid w:val="001A6B06"/>
    <w:rsid w:val="001B1B87"/>
    <w:rsid w:val="001B22C2"/>
    <w:rsid w:val="001B280C"/>
    <w:rsid w:val="001B3B15"/>
    <w:rsid w:val="001B411D"/>
    <w:rsid w:val="001B6408"/>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E3324"/>
    <w:rsid w:val="001F07A2"/>
    <w:rsid w:val="001F0CB6"/>
    <w:rsid w:val="001F1317"/>
    <w:rsid w:val="001F1C81"/>
    <w:rsid w:val="001F4734"/>
    <w:rsid w:val="001F48BE"/>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34A6"/>
    <w:rsid w:val="002734B9"/>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7F4D"/>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24AB0"/>
    <w:rsid w:val="003308F4"/>
    <w:rsid w:val="00332749"/>
    <w:rsid w:val="003345CE"/>
    <w:rsid w:val="00334980"/>
    <w:rsid w:val="00335530"/>
    <w:rsid w:val="003363F0"/>
    <w:rsid w:val="003371F1"/>
    <w:rsid w:val="00342C0D"/>
    <w:rsid w:val="00346F3E"/>
    <w:rsid w:val="00352FBF"/>
    <w:rsid w:val="003548EB"/>
    <w:rsid w:val="00356883"/>
    <w:rsid w:val="003650F1"/>
    <w:rsid w:val="00365741"/>
    <w:rsid w:val="00366580"/>
    <w:rsid w:val="0037130D"/>
    <w:rsid w:val="00374D34"/>
    <w:rsid w:val="003819D5"/>
    <w:rsid w:val="0038204A"/>
    <w:rsid w:val="0038227B"/>
    <w:rsid w:val="00382BC1"/>
    <w:rsid w:val="00382D2A"/>
    <w:rsid w:val="003837CF"/>
    <w:rsid w:val="00386DE2"/>
    <w:rsid w:val="00390937"/>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B7015"/>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2BE6"/>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5C36"/>
    <w:rsid w:val="004465D2"/>
    <w:rsid w:val="00446754"/>
    <w:rsid w:val="0045090C"/>
    <w:rsid w:val="00453C6F"/>
    <w:rsid w:val="00454A69"/>
    <w:rsid w:val="00456D28"/>
    <w:rsid w:val="00462B7E"/>
    <w:rsid w:val="0046349E"/>
    <w:rsid w:val="004653F1"/>
    <w:rsid w:val="00466253"/>
    <w:rsid w:val="00466F5C"/>
    <w:rsid w:val="00467A77"/>
    <w:rsid w:val="00467AF0"/>
    <w:rsid w:val="004726E2"/>
    <w:rsid w:val="004735CF"/>
    <w:rsid w:val="00476468"/>
    <w:rsid w:val="0047736A"/>
    <w:rsid w:val="0048398F"/>
    <w:rsid w:val="0048419F"/>
    <w:rsid w:val="00491165"/>
    <w:rsid w:val="00491B6D"/>
    <w:rsid w:val="004A069E"/>
    <w:rsid w:val="004A45E3"/>
    <w:rsid w:val="004A76F2"/>
    <w:rsid w:val="004B0385"/>
    <w:rsid w:val="004B4334"/>
    <w:rsid w:val="004B7350"/>
    <w:rsid w:val="004B7B3A"/>
    <w:rsid w:val="004B7E3B"/>
    <w:rsid w:val="004C1753"/>
    <w:rsid w:val="004C33C1"/>
    <w:rsid w:val="004D1C64"/>
    <w:rsid w:val="004D6F3B"/>
    <w:rsid w:val="004E27D6"/>
    <w:rsid w:val="004F5803"/>
    <w:rsid w:val="004F5CCD"/>
    <w:rsid w:val="005008C6"/>
    <w:rsid w:val="005035AF"/>
    <w:rsid w:val="005036C2"/>
    <w:rsid w:val="00507B79"/>
    <w:rsid w:val="0051049E"/>
    <w:rsid w:val="0051083A"/>
    <w:rsid w:val="005112A6"/>
    <w:rsid w:val="005140E2"/>
    <w:rsid w:val="00515171"/>
    <w:rsid w:val="00515663"/>
    <w:rsid w:val="005241F4"/>
    <w:rsid w:val="00524856"/>
    <w:rsid w:val="0052612C"/>
    <w:rsid w:val="005302FF"/>
    <w:rsid w:val="005306F2"/>
    <w:rsid w:val="00531A5D"/>
    <w:rsid w:val="00533DC1"/>
    <w:rsid w:val="00534902"/>
    <w:rsid w:val="00534C20"/>
    <w:rsid w:val="00534FE7"/>
    <w:rsid w:val="00540B66"/>
    <w:rsid w:val="005431DA"/>
    <w:rsid w:val="00545156"/>
    <w:rsid w:val="00545E48"/>
    <w:rsid w:val="00546274"/>
    <w:rsid w:val="00547F0D"/>
    <w:rsid w:val="00551084"/>
    <w:rsid w:val="00551731"/>
    <w:rsid w:val="00551975"/>
    <w:rsid w:val="00553119"/>
    <w:rsid w:val="005537ED"/>
    <w:rsid w:val="005549AA"/>
    <w:rsid w:val="00555504"/>
    <w:rsid w:val="00562CFC"/>
    <w:rsid w:val="00565CAE"/>
    <w:rsid w:val="00567220"/>
    <w:rsid w:val="00567DA5"/>
    <w:rsid w:val="005719B8"/>
    <w:rsid w:val="005730E7"/>
    <w:rsid w:val="00573F66"/>
    <w:rsid w:val="00574FD4"/>
    <w:rsid w:val="005766C4"/>
    <w:rsid w:val="00581200"/>
    <w:rsid w:val="00583823"/>
    <w:rsid w:val="00583BA0"/>
    <w:rsid w:val="00590EB0"/>
    <w:rsid w:val="00592A1A"/>
    <w:rsid w:val="00594566"/>
    <w:rsid w:val="00595747"/>
    <w:rsid w:val="005A14A3"/>
    <w:rsid w:val="005A1FB4"/>
    <w:rsid w:val="005A428B"/>
    <w:rsid w:val="005B6CEC"/>
    <w:rsid w:val="005B780C"/>
    <w:rsid w:val="005C2D21"/>
    <w:rsid w:val="005C7F5C"/>
    <w:rsid w:val="005D153F"/>
    <w:rsid w:val="005E17AE"/>
    <w:rsid w:val="005E66BB"/>
    <w:rsid w:val="005F0B28"/>
    <w:rsid w:val="005F0C65"/>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37763"/>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D6401"/>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56C2"/>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04FA5"/>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E114D"/>
    <w:rsid w:val="008E2BEF"/>
    <w:rsid w:val="008E7988"/>
    <w:rsid w:val="008E7E64"/>
    <w:rsid w:val="008F1BFA"/>
    <w:rsid w:val="008F6F65"/>
    <w:rsid w:val="00902157"/>
    <w:rsid w:val="009054E2"/>
    <w:rsid w:val="00913B10"/>
    <w:rsid w:val="0091494D"/>
    <w:rsid w:val="00914BCF"/>
    <w:rsid w:val="009166C6"/>
    <w:rsid w:val="00916BFF"/>
    <w:rsid w:val="0092281E"/>
    <w:rsid w:val="00923A8E"/>
    <w:rsid w:val="0092566D"/>
    <w:rsid w:val="00930101"/>
    <w:rsid w:val="0093366D"/>
    <w:rsid w:val="00936966"/>
    <w:rsid w:val="00940D1E"/>
    <w:rsid w:val="009439FD"/>
    <w:rsid w:val="009442C2"/>
    <w:rsid w:val="009500F7"/>
    <w:rsid w:val="00950A71"/>
    <w:rsid w:val="0095269F"/>
    <w:rsid w:val="00953F3E"/>
    <w:rsid w:val="00960123"/>
    <w:rsid w:val="009635B0"/>
    <w:rsid w:val="00965E33"/>
    <w:rsid w:val="009670C1"/>
    <w:rsid w:val="00967F76"/>
    <w:rsid w:val="0097008F"/>
    <w:rsid w:val="00970097"/>
    <w:rsid w:val="00971652"/>
    <w:rsid w:val="00975B08"/>
    <w:rsid w:val="00982284"/>
    <w:rsid w:val="00982D9A"/>
    <w:rsid w:val="00987E0D"/>
    <w:rsid w:val="009900A7"/>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4C39"/>
    <w:rsid w:val="009D50B6"/>
    <w:rsid w:val="009D5E2B"/>
    <w:rsid w:val="009E009D"/>
    <w:rsid w:val="009E5B1B"/>
    <w:rsid w:val="009E6D6E"/>
    <w:rsid w:val="009F24C2"/>
    <w:rsid w:val="009F2F47"/>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5824"/>
    <w:rsid w:val="00A6713D"/>
    <w:rsid w:val="00A6720D"/>
    <w:rsid w:val="00A6799E"/>
    <w:rsid w:val="00A7066C"/>
    <w:rsid w:val="00A7279D"/>
    <w:rsid w:val="00A74CA3"/>
    <w:rsid w:val="00A76C23"/>
    <w:rsid w:val="00A76F52"/>
    <w:rsid w:val="00A77910"/>
    <w:rsid w:val="00A80BAD"/>
    <w:rsid w:val="00A820C9"/>
    <w:rsid w:val="00A832AB"/>
    <w:rsid w:val="00A8375C"/>
    <w:rsid w:val="00A83A3B"/>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5CB2"/>
    <w:rsid w:val="00AC6C3C"/>
    <w:rsid w:val="00AC7AAB"/>
    <w:rsid w:val="00AD31E3"/>
    <w:rsid w:val="00AD3219"/>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18FA"/>
    <w:rsid w:val="00C12399"/>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B74E7"/>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87E75"/>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183B"/>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46921"/>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340"/>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D661A"/>
    <w:rsid w:val="00EE5277"/>
    <w:rsid w:val="00EE7AD0"/>
    <w:rsid w:val="00EF0A16"/>
    <w:rsid w:val="00EF38AA"/>
    <w:rsid w:val="00EF4589"/>
    <w:rsid w:val="00EF52BC"/>
    <w:rsid w:val="00EF5FDB"/>
    <w:rsid w:val="00F005DB"/>
    <w:rsid w:val="00F01410"/>
    <w:rsid w:val="00F03436"/>
    <w:rsid w:val="00F047A7"/>
    <w:rsid w:val="00F050CB"/>
    <w:rsid w:val="00F057D8"/>
    <w:rsid w:val="00F07DB0"/>
    <w:rsid w:val="00F07FBA"/>
    <w:rsid w:val="00F1052F"/>
    <w:rsid w:val="00F105EF"/>
    <w:rsid w:val="00F120F6"/>
    <w:rsid w:val="00F2034F"/>
    <w:rsid w:val="00F20E22"/>
    <w:rsid w:val="00F21CB8"/>
    <w:rsid w:val="00F24D35"/>
    <w:rsid w:val="00F24EEA"/>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2200"/>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6E0B6E7"/>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 w:type="paragraph" w:customStyle="1" w:styleId="Anhangberschrift1">
    <w:name w:val="Anhang Überschrift 1"/>
    <w:basedOn w:val="Standard"/>
    <w:next w:val="Standard"/>
    <w:qFormat/>
    <w:rsid w:val="004B7B3A"/>
    <w:pPr>
      <w:keepNext/>
      <w:numPr>
        <w:ilvl w:val="1"/>
        <w:numId w:val="15"/>
      </w:numPr>
      <w:overflowPunct/>
      <w:autoSpaceDE/>
      <w:autoSpaceDN/>
      <w:adjustRightInd/>
      <w:spacing w:before="240" w:after="120" w:line="288" w:lineRule="auto"/>
      <w:jc w:val="both"/>
      <w:textAlignment w:val="auto"/>
      <w:outlineLvl w:val="1"/>
    </w:pPr>
    <w:rPr>
      <w:rFonts w:ascii="Verdana" w:eastAsiaTheme="minorEastAsia" w:hAnsi="Verdana" w:cstheme="minorBidi"/>
      <w:b/>
      <w:sz w:val="20"/>
      <w:szCs w:val="22"/>
      <w:lang w:eastAsia="ja-JP"/>
    </w:rPr>
  </w:style>
  <w:style w:type="paragraph" w:customStyle="1" w:styleId="Anhangberschrift2">
    <w:name w:val="Anhang Überschrift 2"/>
    <w:basedOn w:val="Standard"/>
    <w:next w:val="Standard"/>
    <w:qFormat/>
    <w:rsid w:val="004B7B3A"/>
    <w:pPr>
      <w:keepNext/>
      <w:numPr>
        <w:ilvl w:val="2"/>
        <w:numId w:val="15"/>
      </w:numPr>
      <w:overflowPunct/>
      <w:autoSpaceDE/>
      <w:autoSpaceDN/>
      <w:adjustRightInd/>
      <w:spacing w:before="240" w:after="120" w:line="288" w:lineRule="auto"/>
      <w:jc w:val="both"/>
      <w:textAlignment w:val="auto"/>
      <w:outlineLvl w:val="2"/>
    </w:pPr>
    <w:rPr>
      <w:rFonts w:ascii="Verdana" w:eastAsiaTheme="minorEastAsia" w:hAnsi="Verdana" w:cstheme="minorBidi"/>
      <w:b/>
      <w:sz w:val="20"/>
      <w:szCs w:val="22"/>
      <w:lang w:eastAsia="ja-JP"/>
    </w:rPr>
  </w:style>
  <w:style w:type="paragraph" w:customStyle="1" w:styleId="Anhangberschrift">
    <w:name w:val="Anhang Überschrift"/>
    <w:basedOn w:val="Listenabsatz"/>
    <w:next w:val="Standard"/>
    <w:qFormat/>
    <w:rsid w:val="004B7B3A"/>
    <w:pPr>
      <w:keepNext/>
      <w:numPr>
        <w:numId w:val="15"/>
      </w:numPr>
      <w:tabs>
        <w:tab w:val="left" w:pos="1418"/>
      </w:tabs>
      <w:overflowPunct/>
      <w:autoSpaceDE/>
      <w:autoSpaceDN/>
      <w:adjustRightInd/>
      <w:spacing w:before="120" w:after="120" w:line="288" w:lineRule="auto"/>
      <w:jc w:val="both"/>
      <w:textAlignment w:val="auto"/>
      <w:outlineLvl w:val="0"/>
    </w:pPr>
    <w:rPr>
      <w:rFonts w:ascii="Verdana" w:eastAsiaTheme="minorEastAsia" w:hAnsi="Verdana" w:cstheme="minorBidi"/>
      <w:b/>
      <w:lang w:eastAsia="ja-JP"/>
    </w:rPr>
  </w:style>
  <w:style w:type="paragraph" w:customStyle="1" w:styleId="AnhangAufzhlungBuchstabe">
    <w:name w:val="Anhang Aufzählung Buchstabe"/>
    <w:basedOn w:val="Standard"/>
    <w:link w:val="AnhangAufzhlungBuchstabeZchn"/>
    <w:qFormat/>
    <w:rsid w:val="004B7B3A"/>
    <w:pPr>
      <w:numPr>
        <w:ilvl w:val="4"/>
        <w:numId w:val="15"/>
      </w:numPr>
      <w:overflowPunct/>
      <w:autoSpaceDE/>
      <w:autoSpaceDN/>
      <w:adjustRightInd/>
      <w:spacing w:line="288" w:lineRule="auto"/>
      <w:jc w:val="both"/>
      <w:textAlignment w:val="auto"/>
    </w:pPr>
    <w:rPr>
      <w:rFonts w:ascii="Verdana" w:eastAsiaTheme="minorEastAsia" w:hAnsi="Verdana" w:cstheme="minorBidi"/>
      <w:sz w:val="20"/>
      <w:szCs w:val="22"/>
      <w:lang w:eastAsia="ja-JP"/>
    </w:rPr>
  </w:style>
  <w:style w:type="character" w:customStyle="1" w:styleId="AnhangAufzhlungBuchstabeZchn">
    <w:name w:val="Anhang Aufzählung Buchstabe Zchn"/>
    <w:basedOn w:val="Absatz-Standardschriftart"/>
    <w:link w:val="AnhangAufzhlungBuchstabe"/>
    <w:rsid w:val="004B7B3A"/>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4B7B3A"/>
    <w:pPr>
      <w:numPr>
        <w:ilvl w:val="3"/>
      </w:numPr>
    </w:pPr>
    <w:rPr>
      <w:rFonts w:eastAsia="Times New Roman" w:cs="Times New Roman"/>
      <w:bCs/>
    </w:rPr>
  </w:style>
  <w:style w:type="paragraph" w:customStyle="1" w:styleId="b1">
    <w:name w:val="Üb 1"/>
    <w:basedOn w:val="Listenabsatz"/>
    <w:next w:val="Standard"/>
    <w:qFormat/>
    <w:rsid w:val="004B7B3A"/>
    <w:pPr>
      <w:keepNext/>
      <w:numPr>
        <w:numId w:val="16"/>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Cs w:val="22"/>
      <w:lang w:eastAsia="ja-JP"/>
    </w:rPr>
  </w:style>
  <w:style w:type="paragraph" w:customStyle="1" w:styleId="b2">
    <w:name w:val="Üb 2"/>
    <w:basedOn w:val="b1"/>
    <w:next w:val="Standard"/>
    <w:qFormat/>
    <w:rsid w:val="004B7B3A"/>
    <w:pPr>
      <w:numPr>
        <w:ilvl w:val="1"/>
      </w:numPr>
      <w:spacing w:before="240"/>
      <w:ind w:left="709" w:hanging="709"/>
      <w:outlineLvl w:val="1"/>
    </w:pPr>
    <w:rPr>
      <w:sz w:val="20"/>
    </w:rPr>
  </w:style>
  <w:style w:type="paragraph" w:customStyle="1" w:styleId="b3">
    <w:name w:val="Üb 3"/>
    <w:basedOn w:val="Listenabsatz"/>
    <w:next w:val="Standard"/>
    <w:link w:val="b3Zchn"/>
    <w:qFormat/>
    <w:rsid w:val="004B7B3A"/>
    <w:pPr>
      <w:keepNext/>
      <w:numPr>
        <w:ilvl w:val="2"/>
        <w:numId w:val="16"/>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sz w:val="20"/>
      <w:lang w:eastAsia="ja-JP"/>
    </w:rPr>
  </w:style>
  <w:style w:type="paragraph" w:customStyle="1" w:styleId="b4">
    <w:name w:val="Üb 4"/>
    <w:basedOn w:val="b3"/>
    <w:next w:val="Standard"/>
    <w:qFormat/>
    <w:rsid w:val="004B7B3A"/>
    <w:pPr>
      <w:numPr>
        <w:ilvl w:val="3"/>
      </w:numPr>
      <w:tabs>
        <w:tab w:val="num" w:pos="360"/>
      </w:tabs>
      <w:outlineLvl w:val="3"/>
    </w:pPr>
  </w:style>
  <w:style w:type="character" w:customStyle="1" w:styleId="b3Zchn">
    <w:name w:val="Üb 3 Zchn"/>
    <w:basedOn w:val="Absatz-Standardschriftart"/>
    <w:link w:val="b3"/>
    <w:rsid w:val="004B7B3A"/>
    <w:rPr>
      <w:rFonts w:ascii="Verdana" w:eastAsiaTheme="minorEastAsia" w:hAnsi="Verdana" w:cstheme="minorBidi"/>
      <w:b/>
      <w:lang w:eastAsia="ja-JP"/>
    </w:rPr>
  </w:style>
  <w:style w:type="paragraph" w:customStyle="1" w:styleId="b5">
    <w:name w:val="Üb 5"/>
    <w:basedOn w:val="b4"/>
    <w:next w:val="Standard"/>
    <w:qFormat/>
    <w:rsid w:val="004B7B3A"/>
    <w:pPr>
      <w:numPr>
        <w:ilvl w:val="4"/>
      </w:numPr>
      <w:tabs>
        <w:tab w:val="num" w:pos="360"/>
      </w:tabs>
      <w:ind w:left="1304" w:hanging="1304"/>
      <w:outlineLvl w:val="4"/>
    </w:pPr>
  </w:style>
  <w:style w:type="paragraph" w:customStyle="1" w:styleId="b6">
    <w:name w:val="Üb 6"/>
    <w:basedOn w:val="b5"/>
    <w:next w:val="Standard"/>
    <w:qFormat/>
    <w:rsid w:val="004B7B3A"/>
    <w:pPr>
      <w:numPr>
        <w:ilvl w:val="5"/>
      </w:numPr>
      <w:tabs>
        <w:tab w:val="num" w:pos="360"/>
      </w:tabs>
      <w:ind w:left="1559" w:hanging="1559"/>
      <w:outlineLvl w:val="5"/>
    </w:pPr>
  </w:style>
  <w:style w:type="paragraph" w:customStyle="1" w:styleId="AufzhlungBuchstabe">
    <w:name w:val="Aufzählung Buchstabe"/>
    <w:basedOn w:val="b2"/>
    <w:qFormat/>
    <w:rsid w:val="004B7B3A"/>
    <w:pPr>
      <w:keepNext w:val="0"/>
      <w:numPr>
        <w:ilvl w:val="6"/>
      </w:numPr>
      <w:spacing w:before="0" w:after="0"/>
      <w:outlineLvl w:val="9"/>
    </w:pPr>
    <w:rPr>
      <w:b w:val="0"/>
    </w:rPr>
  </w:style>
  <w:style w:type="paragraph" w:customStyle="1" w:styleId="AufzhlungBuchstabeFett">
    <w:name w:val="Aufzählung Buchstabe Fett"/>
    <w:basedOn w:val="AufzhlungBuchstabe"/>
    <w:link w:val="AufzhlungBuchstabeFettZchn"/>
    <w:rsid w:val="004B7B3A"/>
    <w:pPr>
      <w:numPr>
        <w:ilvl w:val="8"/>
      </w:numPr>
    </w:pPr>
    <w:rPr>
      <w:b/>
      <w:bCs/>
    </w:rPr>
  </w:style>
  <w:style w:type="paragraph" w:customStyle="1" w:styleId="AufzhlungBuchstabeKursiv">
    <w:name w:val="Aufzählung Buchstabe Kursiv"/>
    <w:basedOn w:val="AufzhlungBuchstabe"/>
    <w:rsid w:val="004B7B3A"/>
    <w:pPr>
      <w:numPr>
        <w:ilvl w:val="7"/>
      </w:numPr>
    </w:pPr>
    <w:rPr>
      <w:i/>
      <w:iCs/>
    </w:rPr>
  </w:style>
  <w:style w:type="character" w:styleId="Hyperlink">
    <w:name w:val="Hyperlink"/>
    <w:basedOn w:val="Absatz-Standardschriftart"/>
    <w:uiPriority w:val="99"/>
    <w:qFormat/>
    <w:rsid w:val="004F5CCD"/>
    <w:rPr>
      <w:color w:val="0000FF" w:themeColor="hyperlink"/>
      <w:u w:val="single"/>
    </w:rPr>
  </w:style>
  <w:style w:type="paragraph" w:customStyle="1" w:styleId="Standardeingercktum0">
    <w:name w:val="Standard eingerückt um 0"/>
    <w:aliases w:val="75"/>
    <w:basedOn w:val="Standard"/>
    <w:link w:val="Standardeingercktum0Zchn"/>
    <w:qFormat/>
    <w:rsid w:val="0051049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51049E"/>
    <w:rPr>
      <w:rFonts w:ascii="Verdana" w:eastAsiaTheme="minorEastAsia" w:hAnsi="Verdana" w:cstheme="minorBidi"/>
      <w:lang w:eastAsia="ja-JP"/>
    </w:rPr>
  </w:style>
  <w:style w:type="character" w:customStyle="1" w:styleId="AufzhlungBuchstabeFettZchn">
    <w:name w:val="Aufzählung Buchstabe Fett Zchn"/>
    <w:basedOn w:val="Absatz-Standardschriftart"/>
    <w:link w:val="AufzhlungBuchstabeFett"/>
    <w:rsid w:val="0004748C"/>
    <w:rPr>
      <w:rFonts w:ascii="Verdana" w:eastAsiaTheme="minorEastAsia" w:hAnsi="Verdana" w:cstheme="minorBidi"/>
      <w:b/>
      <w:bCs/>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bfr.ble.de/kse/faces/DBEmpfehlung.jsp" TargetMode="External"/><Relationship Id="rId2" Type="http://schemas.openxmlformats.org/officeDocument/2006/relationships/hyperlink" Target="https://echa.europa.eu/de/regulations/clp/cl-inventory" TargetMode="External"/><Relationship Id="rId1" Type="http://schemas.openxmlformats.org/officeDocument/2006/relationships/hyperlink" Target="https://www.echa.europa.eu/candidate-list-table" TargetMode="External"/><Relationship Id="rId4" Type="http://schemas.openxmlformats.org/officeDocument/2006/relationships/hyperlink" Target="https://www.umweltbundesamt.de/sites/default/files/medien/5620/dokumente/silikon-uebergangsempfehlung_2._aenderun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1749</Words>
  <Characters>9972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23</cp:revision>
  <cp:lastPrinted>2013-03-14T10:09:00Z</cp:lastPrinted>
  <dcterms:created xsi:type="dcterms:W3CDTF">2022-01-21T10:17:00Z</dcterms:created>
  <dcterms:modified xsi:type="dcterms:W3CDTF">2022-03-23T15:30:00Z</dcterms:modified>
</cp:coreProperties>
</file>