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2126"/>
      </w:tblGrid>
      <w:tr w:rsidR="00731E02" w:rsidRPr="00F1664D" w:rsidTr="0087185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3C4396">
              <w:rPr>
                <w:rFonts w:cs="Arial"/>
                <w:b/>
                <w:sz w:val="48"/>
                <w:szCs w:val="48"/>
              </w:rPr>
              <w:t>1</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A658B3">
              <w:rPr>
                <w:rFonts w:cs="Arial"/>
                <w:b/>
              </w:rPr>
              <w:t>223</w:t>
            </w:r>
            <w:r w:rsidR="000201F5">
              <w:rPr>
                <w:rFonts w:cs="Arial"/>
                <w:b/>
              </w:rPr>
              <w:br/>
            </w:r>
            <w:r w:rsidR="000201F5">
              <w:rPr>
                <w:rFonts w:cs="Arial"/>
                <w:b/>
              </w:rPr>
              <w:br/>
              <w:t>DIESE ANLAGE GILT FÜR</w:t>
            </w:r>
            <w:r w:rsidR="00AE11A5">
              <w:rPr>
                <w:rFonts w:cs="Arial"/>
                <w:b/>
              </w:rPr>
              <w:t xml:space="preserve">: </w:t>
            </w:r>
            <w:r w:rsidR="003C4396">
              <w:rPr>
                <w:rFonts w:cs="Arial"/>
                <w:b/>
              </w:rPr>
              <w:t>ANTRAG</w:t>
            </w:r>
            <w:r w:rsidR="00C33528">
              <w:rPr>
                <w:rFonts w:cs="Arial"/>
                <w:b/>
              </w:rPr>
              <w:t>STELLER</w:t>
            </w:r>
          </w:p>
        </w:tc>
        <w:tc>
          <w:tcPr>
            <w:tcW w:w="2126"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A238F1" w:rsidRPr="00F1664D" w:rsidRDefault="00A238F1" w:rsidP="00731E02">
      <w:pPr>
        <w:tabs>
          <w:tab w:val="left" w:pos="5670"/>
        </w:tabs>
        <w:rPr>
          <w:rFonts w:cs="Arial"/>
        </w:rPr>
      </w:pPr>
    </w:p>
    <w:p w:rsidR="000201F5" w:rsidRDefault="000201F5" w:rsidP="00731E02">
      <w:pPr>
        <w:tabs>
          <w:tab w:val="left" w:pos="5670"/>
        </w:tabs>
        <w:rPr>
          <w:rFonts w:cs="Arial"/>
          <w:b/>
        </w:rPr>
      </w:pPr>
    </w:p>
    <w:p w:rsidR="00731E02" w:rsidRPr="00F1664D" w:rsidRDefault="00731E02" w:rsidP="00731E02">
      <w:pPr>
        <w:tabs>
          <w:tab w:val="left" w:pos="5670"/>
        </w:tabs>
        <w:rPr>
          <w:rFonts w:cs="Arial"/>
          <w:b/>
        </w:rPr>
      </w:pPr>
      <w:r w:rsidRPr="00F1664D">
        <w:rPr>
          <w:rFonts w:cs="Arial"/>
          <w:b/>
        </w:rPr>
        <w:t>Umweltzeichen für "</w:t>
      </w:r>
      <w:r w:rsidR="00A658B3">
        <w:rPr>
          <w:rFonts w:cs="Arial"/>
          <w:b/>
        </w:rPr>
        <w:t>Thermopapiere</w:t>
      </w:r>
      <w:r w:rsidRPr="00F1664D">
        <w:rPr>
          <w:rFonts w:cs="Arial"/>
          <w:b/>
        </w:rPr>
        <w:t>"</w:t>
      </w:r>
    </w:p>
    <w:p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2377"/>
        <w:gridCol w:w="992"/>
        <w:gridCol w:w="993"/>
        <w:gridCol w:w="2835"/>
        <w:gridCol w:w="2551"/>
      </w:tblGrid>
      <w:tr w:rsidR="00731E02" w:rsidRPr="00F1664D" w:rsidTr="002C3F22">
        <w:trPr>
          <w:trHeight w:hRule="exact" w:val="814"/>
        </w:trPr>
        <w:tc>
          <w:tcPr>
            <w:tcW w:w="4362" w:type="dxa"/>
            <w:gridSpan w:val="3"/>
            <w:shd w:val="clear" w:color="auto" w:fill="auto"/>
          </w:tcPr>
          <w:p w:rsidR="00731E02" w:rsidRPr="00F1664D" w:rsidRDefault="003C4396" w:rsidP="0076668E">
            <w:pPr>
              <w:spacing w:before="20" w:after="20"/>
              <w:rPr>
                <w:rFonts w:cs="Arial"/>
                <w:b/>
              </w:rPr>
            </w:pPr>
            <w:r>
              <w:rPr>
                <w:rFonts w:cs="Arial"/>
                <w:b/>
              </w:rPr>
              <w:t>Antragsteller</w:t>
            </w:r>
            <w:r w:rsidR="00A658B3">
              <w:rPr>
                <w:rFonts w:cs="Arial"/>
                <w:b/>
              </w:rPr>
              <w:t xml:space="preserve"> (Zeichennehmer)</w:t>
            </w:r>
            <w:r w:rsidR="00731E02" w:rsidRPr="00F1664D">
              <w:rPr>
                <w:rFonts w:cs="Arial"/>
                <w:b/>
              </w:rPr>
              <w:t>:</w:t>
            </w:r>
          </w:p>
          <w:p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86" w:type="dxa"/>
            <w:gridSpan w:val="2"/>
            <w:shd w:val="clear" w:color="auto" w:fill="auto"/>
          </w:tcPr>
          <w:p w:rsidR="00731E02"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00A81EBE">
              <w:rPr>
                <w:rFonts w:cs="Arial"/>
                <w:b/>
              </w:rPr>
              <w:t> </w:t>
            </w:r>
            <w:r w:rsidR="00A81EBE">
              <w:rPr>
                <w:rFonts w:cs="Arial"/>
                <w:b/>
              </w:rPr>
              <w:t> </w:t>
            </w:r>
            <w:r w:rsidR="00A81EBE">
              <w:rPr>
                <w:rFonts w:cs="Arial"/>
                <w:b/>
              </w:rPr>
              <w:t> </w:t>
            </w:r>
            <w:r w:rsidR="00A81EBE">
              <w:rPr>
                <w:rFonts w:cs="Arial"/>
                <w:b/>
              </w:rPr>
              <w:t> </w:t>
            </w:r>
            <w:r w:rsidR="00A81EBE">
              <w:rPr>
                <w:rFonts w:cs="Arial"/>
                <w:b/>
              </w:rPr>
              <w:t> </w:t>
            </w:r>
            <w:r w:rsidRPr="00F1664D">
              <w:rPr>
                <w:rFonts w:cs="Arial"/>
                <w:b/>
              </w:rPr>
              <w:fldChar w:fldCharType="end"/>
            </w:r>
          </w:p>
          <w:p w:rsidR="002C3F22" w:rsidRDefault="002C3F22" w:rsidP="0076668E">
            <w:pPr>
              <w:spacing w:before="20" w:after="20"/>
              <w:rPr>
                <w:rFonts w:cs="Arial"/>
                <w:b/>
              </w:rPr>
            </w:pPr>
          </w:p>
          <w:p w:rsidR="002C3F22" w:rsidRPr="00F1664D" w:rsidRDefault="002C3F22" w:rsidP="0076668E">
            <w:pPr>
              <w:spacing w:before="20" w:after="20"/>
              <w:rPr>
                <w:rFonts w:cs="Arial"/>
                <w:b/>
              </w:rPr>
            </w:pPr>
          </w:p>
        </w:tc>
      </w:tr>
      <w:tr w:rsidR="00731E02" w:rsidRPr="00F1664D" w:rsidTr="003C4396">
        <w:tc>
          <w:tcPr>
            <w:tcW w:w="4362" w:type="dxa"/>
            <w:gridSpan w:val="3"/>
            <w:shd w:val="clear" w:color="auto" w:fill="auto"/>
          </w:tcPr>
          <w:p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gridSpan w:val="2"/>
            <w:shd w:val="clear" w:color="auto" w:fill="auto"/>
          </w:tcPr>
          <w:p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F1664D" w:rsidRPr="00F1664D" w:rsidTr="003C4396">
        <w:tc>
          <w:tcPr>
            <w:tcW w:w="4362" w:type="dxa"/>
            <w:gridSpan w:val="3"/>
            <w:shd w:val="clear" w:color="auto" w:fill="auto"/>
          </w:tcPr>
          <w:p w:rsidR="00F1664D" w:rsidRPr="00F1664D" w:rsidRDefault="00F1664D" w:rsidP="00F1664D">
            <w:pPr>
              <w:spacing w:before="20" w:after="20"/>
              <w:jc w:val="center"/>
              <w:rPr>
                <w:rFonts w:cs="Arial"/>
                <w:b/>
              </w:rPr>
            </w:pPr>
            <w:r w:rsidRPr="00F1664D">
              <w:rPr>
                <w:rFonts w:cs="Arial"/>
                <w:b/>
              </w:rPr>
              <w:t>E-Mail-Adresse:</w:t>
            </w:r>
          </w:p>
        </w:tc>
        <w:tc>
          <w:tcPr>
            <w:tcW w:w="5386" w:type="dxa"/>
            <w:gridSpan w:val="2"/>
            <w:shd w:val="clear" w:color="auto" w:fill="auto"/>
          </w:tcPr>
          <w:p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rsidTr="003C4396">
        <w:tc>
          <w:tcPr>
            <w:tcW w:w="4362" w:type="dxa"/>
            <w:gridSpan w:val="3"/>
            <w:shd w:val="clear" w:color="auto" w:fill="auto"/>
          </w:tcPr>
          <w:p w:rsidR="00F1664D" w:rsidRPr="00F1664D" w:rsidRDefault="00F1664D" w:rsidP="00F1664D">
            <w:pPr>
              <w:spacing w:before="20" w:after="20"/>
              <w:jc w:val="center"/>
              <w:rPr>
                <w:rFonts w:cs="Arial"/>
                <w:b/>
              </w:rPr>
            </w:pPr>
            <w:r w:rsidRPr="00F1664D">
              <w:rPr>
                <w:rFonts w:cs="Arial"/>
                <w:b/>
              </w:rPr>
              <w:t>Telefonnummer:</w:t>
            </w:r>
          </w:p>
        </w:tc>
        <w:tc>
          <w:tcPr>
            <w:tcW w:w="5386" w:type="dxa"/>
            <w:gridSpan w:val="2"/>
            <w:shd w:val="clear" w:color="auto" w:fill="auto"/>
          </w:tcPr>
          <w:p w:rsidR="00F1664D" w:rsidRDefault="00F1664D" w:rsidP="0076668E">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731E02" w:rsidRPr="00F1664D" w:rsidTr="00FF0489">
        <w:trPr>
          <w:trHeight w:val="571"/>
        </w:trPr>
        <w:tc>
          <w:tcPr>
            <w:tcW w:w="4362" w:type="dxa"/>
            <w:gridSpan w:val="3"/>
            <w:tcBorders>
              <w:bottom w:val="single" w:sz="4" w:space="0" w:color="auto"/>
            </w:tcBorders>
            <w:shd w:val="clear" w:color="auto" w:fill="auto"/>
          </w:tcPr>
          <w:p w:rsidR="00731E02" w:rsidRPr="00F1664D" w:rsidRDefault="00296107" w:rsidP="0076668E">
            <w:pPr>
              <w:spacing w:before="20" w:after="20"/>
              <w:rPr>
                <w:rFonts w:cs="Arial"/>
                <w:b/>
              </w:rPr>
            </w:pPr>
            <w:r w:rsidRPr="00F1664D">
              <w:rPr>
                <w:rFonts w:cs="Arial"/>
                <w:b/>
              </w:rPr>
              <w:t>Handelsname des Produkt</w:t>
            </w:r>
            <w:r w:rsidR="003C4396">
              <w:rPr>
                <w:rFonts w:cs="Arial"/>
                <w:b/>
              </w:rPr>
              <w:t>e</w:t>
            </w:r>
            <w:r w:rsidRPr="00F1664D">
              <w:rPr>
                <w:rFonts w:cs="Arial"/>
                <w:b/>
              </w:rPr>
              <w:t>s</w:t>
            </w:r>
            <w:r w:rsidR="00731E02" w:rsidRPr="00F1664D">
              <w:rPr>
                <w:rFonts w:cs="Arial"/>
                <w:b/>
              </w:rPr>
              <w:t>:</w:t>
            </w:r>
          </w:p>
          <w:p w:rsidR="00BC56EF" w:rsidRPr="00F1664D" w:rsidRDefault="00BC56EF" w:rsidP="00F1664D">
            <w:pPr>
              <w:spacing w:before="20" w:after="20"/>
              <w:rPr>
                <w:rFonts w:cs="Arial"/>
                <w:b/>
                <w:sz w:val="18"/>
                <w:szCs w:val="18"/>
              </w:rPr>
            </w:pPr>
          </w:p>
        </w:tc>
        <w:tc>
          <w:tcPr>
            <w:tcW w:w="5386" w:type="dxa"/>
            <w:gridSpan w:val="2"/>
            <w:tcBorders>
              <w:bottom w:val="single" w:sz="4" w:space="0" w:color="auto"/>
            </w:tcBorders>
            <w:shd w:val="clear" w:color="auto" w:fill="auto"/>
          </w:tcPr>
          <w:p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35DEF" w:rsidRPr="00F1664D" w:rsidTr="00FF0489">
        <w:trPr>
          <w:trHeight w:val="737"/>
        </w:trPr>
        <w:tc>
          <w:tcPr>
            <w:tcW w:w="4362" w:type="dxa"/>
            <w:gridSpan w:val="3"/>
            <w:tcBorders>
              <w:bottom w:val="single" w:sz="4" w:space="0" w:color="auto"/>
            </w:tcBorders>
            <w:shd w:val="clear" w:color="auto" w:fill="auto"/>
          </w:tcPr>
          <w:p w:rsidR="00F01D1E" w:rsidRDefault="00C35DEF" w:rsidP="0076668E">
            <w:pPr>
              <w:spacing w:before="20" w:after="20"/>
              <w:rPr>
                <w:rFonts w:cs="Arial"/>
                <w:b/>
              </w:rPr>
            </w:pPr>
            <w:r>
              <w:rPr>
                <w:rFonts w:cs="Arial"/>
                <w:b/>
              </w:rPr>
              <w:t>Inverkehrbringer</w:t>
            </w:r>
            <w:r w:rsidR="00A658B3">
              <w:rPr>
                <w:rFonts w:cs="Arial"/>
                <w:b/>
              </w:rPr>
              <w:t xml:space="preserve"> (Zeichenanwender)</w:t>
            </w:r>
            <w:r>
              <w:rPr>
                <w:rFonts w:cs="Arial"/>
                <w:b/>
              </w:rPr>
              <w:t>:</w:t>
            </w:r>
          </w:p>
          <w:p w:rsidR="00C35DEF" w:rsidRDefault="00F01D1E" w:rsidP="0076668E">
            <w:pPr>
              <w:spacing w:before="20" w:after="20"/>
              <w:rPr>
                <w:rFonts w:cs="Arial"/>
                <w:b/>
              </w:rPr>
            </w:pPr>
            <w:r w:rsidRPr="00F01D1E">
              <w:rPr>
                <w:rFonts w:cs="Arial"/>
                <w:sz w:val="18"/>
                <w:szCs w:val="18"/>
              </w:rPr>
              <w:t>(vollständige Anschrift)</w:t>
            </w:r>
            <w:r w:rsidR="00C35DEF" w:rsidRPr="00F01D1E">
              <w:rPr>
                <w:rFonts w:cs="Arial"/>
                <w:sz w:val="18"/>
                <w:szCs w:val="18"/>
              </w:rPr>
              <w:br/>
              <w:t>(</w:t>
            </w:r>
            <w:r w:rsidR="00546FB1" w:rsidRPr="00F01D1E">
              <w:rPr>
                <w:rFonts w:cs="Arial"/>
                <w:sz w:val="18"/>
                <w:szCs w:val="18"/>
              </w:rPr>
              <w:t>D</w:t>
            </w:r>
            <w:r w:rsidR="00C35DEF" w:rsidRPr="00F01D1E">
              <w:rPr>
                <w:rFonts w:cs="Arial"/>
                <w:sz w:val="18"/>
                <w:szCs w:val="18"/>
              </w:rPr>
              <w:t>erjenige, der mit dem Zeichen wirbt)</w:t>
            </w:r>
          </w:p>
        </w:tc>
        <w:tc>
          <w:tcPr>
            <w:tcW w:w="5386" w:type="dxa"/>
            <w:gridSpan w:val="2"/>
            <w:tcBorders>
              <w:bottom w:val="single" w:sz="4" w:space="0" w:color="auto"/>
            </w:tcBorders>
            <w:shd w:val="clear" w:color="auto" w:fill="auto"/>
          </w:tcPr>
          <w:p w:rsidR="00C35DEF" w:rsidRPr="00F1664D" w:rsidRDefault="00F239F4"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FF0489" w:rsidRPr="00F1664D" w:rsidTr="00FF0489">
        <w:trPr>
          <w:trHeight w:val="737"/>
        </w:trPr>
        <w:tc>
          <w:tcPr>
            <w:tcW w:w="9748" w:type="dxa"/>
            <w:gridSpan w:val="5"/>
            <w:tcBorders>
              <w:top w:val="single" w:sz="4" w:space="0" w:color="auto"/>
              <w:left w:val="nil"/>
              <w:bottom w:val="nil"/>
              <w:right w:val="nil"/>
            </w:tcBorders>
            <w:shd w:val="clear" w:color="auto" w:fill="auto"/>
            <w:vAlign w:val="center"/>
          </w:tcPr>
          <w:p w:rsidR="00FF0489" w:rsidRPr="00F1664D" w:rsidRDefault="00FF0489" w:rsidP="00FF0489">
            <w:pPr>
              <w:spacing w:before="20" w:after="20"/>
              <w:rPr>
                <w:rFonts w:cs="Arial"/>
              </w:rPr>
            </w:pPr>
            <w:r w:rsidRPr="004B7B3A">
              <w:rPr>
                <w:rFonts w:cs="Arial"/>
                <w:b/>
                <w:szCs w:val="22"/>
              </w:rPr>
              <w:t>Das oben genannte Produkt ist ein:</w:t>
            </w:r>
          </w:p>
        </w:tc>
      </w:tr>
      <w:tr w:rsidR="00FF0489" w:rsidRPr="00F1664D" w:rsidTr="00F239F4">
        <w:trPr>
          <w:trHeight w:val="737"/>
        </w:trPr>
        <w:tc>
          <w:tcPr>
            <w:tcW w:w="2377" w:type="dxa"/>
            <w:tcBorders>
              <w:top w:val="nil"/>
              <w:left w:val="nil"/>
              <w:bottom w:val="nil"/>
              <w:right w:val="nil"/>
            </w:tcBorders>
            <w:shd w:val="clear" w:color="auto" w:fill="auto"/>
          </w:tcPr>
          <w:p w:rsidR="00FF0489" w:rsidRPr="004B7B3A" w:rsidRDefault="00FF0489" w:rsidP="00FF0489">
            <w:pPr>
              <w:rPr>
                <w:rFonts w:cs="Arial"/>
                <w:szCs w:val="22"/>
              </w:rPr>
            </w:pPr>
            <w:r>
              <w:rPr>
                <w:rFonts w:cs="Arial"/>
                <w:szCs w:val="22"/>
              </w:rPr>
              <w:t>Thermopapier</w:t>
            </w:r>
          </w:p>
        </w:tc>
        <w:tc>
          <w:tcPr>
            <w:tcW w:w="992" w:type="dxa"/>
            <w:tcBorders>
              <w:top w:val="nil"/>
              <w:left w:val="nil"/>
              <w:bottom w:val="nil"/>
              <w:right w:val="nil"/>
            </w:tcBorders>
            <w:shd w:val="clear" w:color="auto" w:fill="auto"/>
          </w:tcPr>
          <w:p w:rsidR="00FF0489" w:rsidRPr="004B7B3A" w:rsidRDefault="00FF0489" w:rsidP="00FF0489">
            <w:pPr>
              <w:rPr>
                <w:rFonts w:cs="Arial"/>
                <w:szCs w:val="22"/>
              </w:rPr>
            </w:pPr>
            <w:r w:rsidRPr="004B7B3A">
              <w:rPr>
                <w:rFonts w:cs="Arial"/>
                <w:szCs w:val="22"/>
              </w:rPr>
              <w:fldChar w:fldCharType="begin">
                <w:ffData>
                  <w:name w:val="Kontrollkästchen72"/>
                  <w:enabled/>
                  <w:calcOnExit w:val="0"/>
                  <w:checkBox>
                    <w:sizeAuto/>
                    <w:default w:val="0"/>
                  </w:checkBox>
                </w:ffData>
              </w:fldChar>
            </w:r>
            <w:bookmarkStart w:id="3" w:name="Kontrollkästchen72"/>
            <w:r w:rsidRPr="004B7B3A">
              <w:rPr>
                <w:rFonts w:cs="Arial"/>
                <w:szCs w:val="22"/>
              </w:rPr>
              <w:instrText xml:space="preserve"> FORMCHECKBOX </w:instrText>
            </w:r>
            <w:r w:rsidR="00A81EBE">
              <w:rPr>
                <w:rFonts w:cs="Arial"/>
                <w:szCs w:val="22"/>
              </w:rPr>
            </w:r>
            <w:r w:rsidR="00A81EBE">
              <w:rPr>
                <w:rFonts w:cs="Arial"/>
                <w:szCs w:val="22"/>
              </w:rPr>
              <w:fldChar w:fldCharType="separate"/>
            </w:r>
            <w:r w:rsidRPr="004B7B3A">
              <w:rPr>
                <w:rFonts w:cs="Arial"/>
                <w:szCs w:val="22"/>
              </w:rPr>
              <w:fldChar w:fldCharType="end"/>
            </w:r>
          </w:p>
        </w:tc>
        <w:bookmarkEnd w:id="3"/>
        <w:tc>
          <w:tcPr>
            <w:tcW w:w="3828" w:type="dxa"/>
            <w:gridSpan w:val="2"/>
            <w:tcBorders>
              <w:top w:val="nil"/>
              <w:left w:val="nil"/>
              <w:bottom w:val="nil"/>
              <w:right w:val="nil"/>
            </w:tcBorders>
            <w:shd w:val="clear" w:color="auto" w:fill="auto"/>
          </w:tcPr>
          <w:p w:rsidR="00FF0489" w:rsidRPr="004B7B3A" w:rsidRDefault="00FF0489" w:rsidP="00FF0489">
            <w:pPr>
              <w:rPr>
                <w:rFonts w:cs="Arial"/>
                <w:szCs w:val="22"/>
              </w:rPr>
            </w:pPr>
            <w:r>
              <w:rPr>
                <w:rFonts w:cs="Arial"/>
                <w:szCs w:val="22"/>
              </w:rPr>
              <w:t>Erzeugnis aus Thermopapier</w:t>
            </w:r>
          </w:p>
        </w:tc>
        <w:tc>
          <w:tcPr>
            <w:tcW w:w="2551" w:type="dxa"/>
            <w:tcBorders>
              <w:top w:val="nil"/>
              <w:left w:val="nil"/>
              <w:bottom w:val="nil"/>
              <w:right w:val="nil"/>
            </w:tcBorders>
            <w:shd w:val="clear" w:color="auto" w:fill="auto"/>
          </w:tcPr>
          <w:p w:rsidR="00FF0489" w:rsidRPr="004B7B3A" w:rsidRDefault="00FF0489" w:rsidP="00FF0489">
            <w:pPr>
              <w:rPr>
                <w:rFonts w:cs="Arial"/>
                <w:szCs w:val="22"/>
              </w:rPr>
            </w:pPr>
            <w:r w:rsidRPr="004B7B3A">
              <w:rPr>
                <w:rFonts w:cs="Arial"/>
                <w:szCs w:val="22"/>
              </w:rPr>
              <w:fldChar w:fldCharType="begin">
                <w:ffData>
                  <w:name w:val="Kontrollkästchen75"/>
                  <w:enabled/>
                  <w:calcOnExit w:val="0"/>
                  <w:checkBox>
                    <w:sizeAuto/>
                    <w:default w:val="0"/>
                    <w:checked w:val="0"/>
                  </w:checkBox>
                </w:ffData>
              </w:fldChar>
            </w:r>
            <w:bookmarkStart w:id="4" w:name="Kontrollkästchen75"/>
            <w:r w:rsidRPr="004B7B3A">
              <w:rPr>
                <w:rFonts w:cs="Arial"/>
                <w:szCs w:val="22"/>
              </w:rPr>
              <w:instrText xml:space="preserve"> FORMCHECKBOX </w:instrText>
            </w:r>
            <w:r w:rsidR="00A81EBE" w:rsidRPr="004B7B3A">
              <w:rPr>
                <w:rFonts w:cs="Arial"/>
                <w:szCs w:val="22"/>
              </w:rPr>
            </w:r>
            <w:r w:rsidR="00A81EBE">
              <w:rPr>
                <w:rFonts w:cs="Arial"/>
                <w:szCs w:val="22"/>
              </w:rPr>
              <w:fldChar w:fldCharType="separate"/>
            </w:r>
            <w:r w:rsidRPr="004B7B3A">
              <w:rPr>
                <w:rFonts w:cs="Arial"/>
                <w:szCs w:val="22"/>
              </w:rPr>
              <w:fldChar w:fldCharType="end"/>
            </w:r>
            <w:bookmarkEnd w:id="4"/>
          </w:p>
        </w:tc>
      </w:tr>
    </w:tbl>
    <w:p w:rsidR="00FF0489" w:rsidRPr="004B7B3A" w:rsidRDefault="00FF0489" w:rsidP="00FF0489">
      <w:pPr>
        <w:jc w:val="both"/>
        <w:rPr>
          <w:rFonts w:cs="Arial"/>
          <w:b/>
          <w:szCs w:val="22"/>
          <w:u w:val="single"/>
        </w:rPr>
      </w:pPr>
      <w:r w:rsidRPr="004B7B3A">
        <w:rPr>
          <w:rFonts w:cs="Arial"/>
          <w:b/>
          <w:szCs w:val="22"/>
          <w:u w:val="single"/>
        </w:rPr>
        <w:t>Erklärungen des Antragstellers</w:t>
      </w:r>
      <w:r w:rsidR="00E402C4">
        <w:rPr>
          <w:rFonts w:cs="Arial"/>
          <w:b/>
          <w:szCs w:val="22"/>
          <w:u w:val="single"/>
        </w:rPr>
        <w:t>: Thermopapiere</w:t>
      </w:r>
    </w:p>
    <w:p w:rsidR="00FF0489" w:rsidRPr="004B7B3A" w:rsidRDefault="00FF0489" w:rsidP="00FF0489">
      <w:pPr>
        <w:jc w:val="both"/>
        <w:rPr>
          <w:rFonts w:cs="Arial"/>
          <w:szCs w:val="22"/>
        </w:rPr>
      </w:pPr>
    </w:p>
    <w:p w:rsidR="0076549D" w:rsidRDefault="00FF0489" w:rsidP="001E0D08">
      <w:pPr>
        <w:jc w:val="both"/>
        <w:rPr>
          <w:rFonts w:cs="Arial"/>
          <w:szCs w:val="22"/>
        </w:rPr>
      </w:pPr>
      <w:r w:rsidRPr="004B7B3A">
        <w:rPr>
          <w:rFonts w:cs="Arial"/>
          <w:szCs w:val="22"/>
        </w:rPr>
        <w:t xml:space="preserve">Hiermit erklären wir die Einhaltung folgender Anforderungen            </w:t>
      </w:r>
      <w:r w:rsidR="00F239F4">
        <w:rPr>
          <w:rFonts w:cs="Arial"/>
          <w:szCs w:val="22"/>
        </w:rPr>
        <w:t xml:space="preserve"> </w:t>
      </w:r>
      <w:r w:rsidRPr="004B7B3A">
        <w:rPr>
          <w:rFonts w:cs="Arial"/>
          <w:szCs w:val="22"/>
        </w:rPr>
        <w:t xml:space="preserve">    </w:t>
      </w:r>
      <w:bookmarkStart w:id="5" w:name="_GoBack"/>
      <w:r w:rsidRPr="004B7B3A">
        <w:rPr>
          <w:rFonts w:cs="Arial"/>
          <w:szCs w:val="22"/>
        </w:rPr>
        <w:fldChar w:fldCharType="begin">
          <w:ffData>
            <w:name w:val="Kontrollkästchen79"/>
            <w:enabled/>
            <w:calcOnExit w:val="0"/>
            <w:checkBox>
              <w:sizeAuto/>
              <w:default w:val="0"/>
              <w:checked w:val="0"/>
            </w:checkBox>
          </w:ffData>
        </w:fldChar>
      </w:r>
      <w:r w:rsidRPr="004B7B3A">
        <w:rPr>
          <w:rFonts w:cs="Arial"/>
          <w:szCs w:val="22"/>
        </w:rPr>
        <w:instrText xml:space="preserve"> FORMCHECKBOX </w:instrText>
      </w:r>
      <w:r w:rsidR="00A81EBE" w:rsidRPr="004B7B3A">
        <w:rPr>
          <w:rFonts w:cs="Arial"/>
          <w:szCs w:val="22"/>
        </w:rPr>
      </w:r>
      <w:r w:rsidR="00A81EBE">
        <w:rPr>
          <w:rFonts w:cs="Arial"/>
          <w:szCs w:val="22"/>
        </w:rPr>
        <w:fldChar w:fldCharType="separate"/>
      </w:r>
      <w:r w:rsidRPr="004B7B3A">
        <w:rPr>
          <w:rFonts w:cs="Arial"/>
          <w:szCs w:val="22"/>
        </w:rPr>
        <w:fldChar w:fldCharType="end"/>
      </w:r>
      <w:bookmarkEnd w:id="5"/>
    </w:p>
    <w:p w:rsidR="001E0D08" w:rsidRDefault="001E0D08" w:rsidP="001E0D08">
      <w:pPr>
        <w:jc w:val="both"/>
        <w:rPr>
          <w:rFonts w:cs="Arial"/>
        </w:rPr>
      </w:pPr>
    </w:p>
    <w:tbl>
      <w:tblPr>
        <w:tblStyle w:val="Tabellenraster"/>
        <w:tblW w:w="9776" w:type="dxa"/>
        <w:tblCellMar>
          <w:top w:w="57" w:type="dxa"/>
          <w:bottom w:w="57" w:type="dxa"/>
        </w:tblCellMar>
        <w:tblLook w:val="04A0" w:firstRow="1" w:lastRow="0" w:firstColumn="1" w:lastColumn="0" w:noHBand="0" w:noVBand="1"/>
      </w:tblPr>
      <w:tblGrid>
        <w:gridCol w:w="1413"/>
        <w:gridCol w:w="216"/>
        <w:gridCol w:w="1629"/>
        <w:gridCol w:w="1630"/>
        <w:gridCol w:w="1629"/>
        <w:gridCol w:w="1629"/>
        <w:gridCol w:w="1630"/>
      </w:tblGrid>
      <w:tr w:rsidR="00094869" w:rsidTr="00D13A96">
        <w:tc>
          <w:tcPr>
            <w:tcW w:w="1413" w:type="dxa"/>
            <w:shd w:val="clear" w:color="auto" w:fill="D9D9D9" w:themeFill="background1" w:themeFillShade="D9"/>
          </w:tcPr>
          <w:p w:rsidR="00094869" w:rsidRPr="00D13A96" w:rsidRDefault="003E6E99" w:rsidP="001E0D08">
            <w:pPr>
              <w:jc w:val="both"/>
              <w:rPr>
                <w:rFonts w:cs="Arial"/>
                <w:b/>
              </w:rPr>
            </w:pPr>
            <w:r w:rsidRPr="00D13A96">
              <w:rPr>
                <w:rFonts w:cs="Arial"/>
                <w:b/>
              </w:rPr>
              <w:t>Abschnitt</w:t>
            </w:r>
          </w:p>
        </w:tc>
        <w:tc>
          <w:tcPr>
            <w:tcW w:w="8363" w:type="dxa"/>
            <w:gridSpan w:val="6"/>
            <w:shd w:val="clear" w:color="auto" w:fill="D9D9D9" w:themeFill="background1" w:themeFillShade="D9"/>
          </w:tcPr>
          <w:p w:rsidR="00094869" w:rsidRPr="00D13A96" w:rsidRDefault="003E6E99" w:rsidP="001E0D08">
            <w:pPr>
              <w:jc w:val="both"/>
              <w:rPr>
                <w:rFonts w:cs="Arial"/>
                <w:b/>
              </w:rPr>
            </w:pPr>
            <w:r w:rsidRPr="00D13A96">
              <w:rPr>
                <w:rFonts w:cs="Arial"/>
                <w:b/>
              </w:rPr>
              <w:t>Anforderung</w:t>
            </w:r>
          </w:p>
        </w:tc>
      </w:tr>
      <w:tr w:rsidR="00094869" w:rsidTr="00D13A96">
        <w:tc>
          <w:tcPr>
            <w:tcW w:w="1413" w:type="dxa"/>
            <w:shd w:val="clear" w:color="auto" w:fill="F2F2F2" w:themeFill="background1" w:themeFillShade="F2"/>
          </w:tcPr>
          <w:p w:rsidR="00094869" w:rsidRPr="00D13A96" w:rsidRDefault="00D13A96" w:rsidP="001E0D08">
            <w:pPr>
              <w:jc w:val="both"/>
              <w:rPr>
                <w:rFonts w:cs="Arial"/>
                <w:b/>
              </w:rPr>
            </w:pPr>
            <w:r w:rsidRPr="00D13A96">
              <w:rPr>
                <w:rFonts w:cs="Arial"/>
                <w:b/>
              </w:rPr>
              <w:t>3.1</w:t>
            </w:r>
          </w:p>
        </w:tc>
        <w:tc>
          <w:tcPr>
            <w:tcW w:w="8363" w:type="dxa"/>
            <w:gridSpan w:val="6"/>
            <w:shd w:val="clear" w:color="auto" w:fill="F2F2F2" w:themeFill="background1" w:themeFillShade="F2"/>
          </w:tcPr>
          <w:p w:rsidR="00094869" w:rsidRPr="00D13A96" w:rsidRDefault="00D13A96" w:rsidP="001E0D08">
            <w:pPr>
              <w:jc w:val="both"/>
              <w:rPr>
                <w:rFonts w:cs="Arial"/>
                <w:b/>
              </w:rPr>
            </w:pPr>
            <w:r w:rsidRPr="00D13A96">
              <w:rPr>
                <w:rFonts w:cs="Arial"/>
                <w:b/>
              </w:rPr>
              <w:t>Papierart und Aufbau des Therompapiers</w:t>
            </w:r>
          </w:p>
        </w:tc>
      </w:tr>
      <w:tr w:rsidR="00094869" w:rsidTr="00D13A96">
        <w:tc>
          <w:tcPr>
            <w:tcW w:w="1413" w:type="dxa"/>
          </w:tcPr>
          <w:p w:rsidR="00094869" w:rsidRDefault="00094869" w:rsidP="001E0D08">
            <w:pPr>
              <w:jc w:val="both"/>
              <w:rPr>
                <w:rFonts w:cs="Arial"/>
              </w:rPr>
            </w:pPr>
          </w:p>
        </w:tc>
        <w:tc>
          <w:tcPr>
            <w:tcW w:w="8363" w:type="dxa"/>
            <w:gridSpan w:val="6"/>
          </w:tcPr>
          <w:p w:rsidR="00094869" w:rsidRPr="00D13A96" w:rsidRDefault="00D13A96" w:rsidP="00D13A96">
            <w:r w:rsidRPr="005A3CC1">
              <w:t>Als Basispapiere werden Papiere mit dem Sortenschlüssel 01 60 30 05 Streichrohpapiere für SD-(Selbstdurchschreibe-) Papiere, Thermopapiere, Spezialbüropapiere der Sortenstatistik des Verbandes Deutscher Papierfabriken (VDP) verwendet.</w:t>
            </w:r>
          </w:p>
        </w:tc>
      </w:tr>
      <w:tr w:rsidR="00094869" w:rsidTr="00C16C7F">
        <w:tc>
          <w:tcPr>
            <w:tcW w:w="1413" w:type="dxa"/>
            <w:shd w:val="clear" w:color="auto" w:fill="F2F2F2" w:themeFill="background1" w:themeFillShade="F2"/>
          </w:tcPr>
          <w:p w:rsidR="00094869" w:rsidRPr="00C16C7F" w:rsidRDefault="00C16C7F" w:rsidP="001E0D08">
            <w:pPr>
              <w:jc w:val="both"/>
              <w:rPr>
                <w:rFonts w:cs="Arial"/>
                <w:b/>
              </w:rPr>
            </w:pPr>
            <w:r w:rsidRPr="00C16C7F">
              <w:rPr>
                <w:rFonts w:cs="Arial"/>
                <w:b/>
              </w:rPr>
              <w:t>3.2</w:t>
            </w:r>
          </w:p>
        </w:tc>
        <w:tc>
          <w:tcPr>
            <w:tcW w:w="8363" w:type="dxa"/>
            <w:gridSpan w:val="6"/>
            <w:shd w:val="clear" w:color="auto" w:fill="F2F2F2" w:themeFill="background1" w:themeFillShade="F2"/>
          </w:tcPr>
          <w:p w:rsidR="00094869" w:rsidRPr="00C16C7F" w:rsidRDefault="00C16C7F" w:rsidP="001E0D08">
            <w:pPr>
              <w:jc w:val="both"/>
              <w:rPr>
                <w:rFonts w:cs="Arial"/>
                <w:b/>
              </w:rPr>
            </w:pPr>
            <w:r w:rsidRPr="00C16C7F">
              <w:rPr>
                <w:rFonts w:cs="Arial"/>
                <w:b/>
              </w:rPr>
              <w:t>Anforderungen and die Herkunft des Holzes für den Zellstoff</w:t>
            </w:r>
          </w:p>
        </w:tc>
      </w:tr>
      <w:tr w:rsidR="00094869" w:rsidTr="00D13A96">
        <w:tc>
          <w:tcPr>
            <w:tcW w:w="1413" w:type="dxa"/>
          </w:tcPr>
          <w:p w:rsidR="00094869" w:rsidRDefault="00094869" w:rsidP="001E0D08">
            <w:pPr>
              <w:jc w:val="both"/>
              <w:rPr>
                <w:rFonts w:cs="Arial"/>
              </w:rPr>
            </w:pPr>
          </w:p>
        </w:tc>
        <w:tc>
          <w:tcPr>
            <w:tcW w:w="8363" w:type="dxa"/>
            <w:gridSpan w:val="6"/>
          </w:tcPr>
          <w:p w:rsidR="00094869" w:rsidRDefault="00617284" w:rsidP="0078760D">
            <w:r w:rsidRPr="00821165">
              <w:t>Der für die Produktion des Basispapiers verwendete Faserrohstoff muss rechnerisch zu 100% aus zertifizierten Fasern bestehen. Das Holz muss aus Wäldern stammen, die nachweislich ökologisch und sozialverträglich bewirtschaftet werden. Hölzer aus regionalen naturnah wirtschaftenden Forstbetrieben tragen darüber hinaus zur Vermeidung langer Transportwege bei, die ökologisch von Nachteil sind.</w:t>
            </w:r>
          </w:p>
          <w:p w:rsidR="0078760D" w:rsidRDefault="0078760D" w:rsidP="0078760D"/>
          <w:p w:rsidR="0078760D" w:rsidRDefault="0078760D" w:rsidP="0078760D">
            <w:pPr>
              <w:rPr>
                <w:i/>
              </w:rPr>
            </w:pPr>
          </w:p>
          <w:p w:rsidR="0078760D" w:rsidRDefault="0078760D" w:rsidP="0078760D">
            <w:pPr>
              <w:rPr>
                <w:i/>
              </w:rPr>
            </w:pPr>
          </w:p>
          <w:p w:rsidR="0078760D" w:rsidRDefault="0078760D" w:rsidP="0078760D">
            <w:pPr>
              <w:rPr>
                <w:i/>
              </w:rPr>
            </w:pPr>
          </w:p>
          <w:p w:rsidR="0078760D" w:rsidRDefault="0078760D" w:rsidP="0078760D">
            <w:pPr>
              <w:rPr>
                <w:i/>
              </w:rPr>
            </w:pPr>
          </w:p>
          <w:p w:rsidR="0078760D" w:rsidRPr="0078760D" w:rsidRDefault="0078760D" w:rsidP="0078760D">
            <w:pPr>
              <w:rPr>
                <w:i/>
              </w:rPr>
            </w:pPr>
            <w:r w:rsidRPr="0078760D">
              <w:rPr>
                <w:i/>
              </w:rPr>
              <w:lastRenderedPageBreak/>
              <w:t>Bitte angeben:</w:t>
            </w:r>
          </w:p>
        </w:tc>
      </w:tr>
      <w:tr w:rsidR="0078760D" w:rsidTr="000705AE">
        <w:tc>
          <w:tcPr>
            <w:tcW w:w="1629" w:type="dxa"/>
            <w:gridSpan w:val="2"/>
          </w:tcPr>
          <w:p w:rsidR="0078760D" w:rsidRPr="0078760D" w:rsidRDefault="0078760D" w:rsidP="0078760D">
            <w:pPr>
              <w:rPr>
                <w:rFonts w:cs="Arial"/>
                <w:b/>
                <w:sz w:val="18"/>
              </w:rPr>
            </w:pPr>
            <w:r w:rsidRPr="0078760D">
              <w:rPr>
                <w:rFonts w:cs="Arial"/>
                <w:b/>
                <w:sz w:val="18"/>
              </w:rPr>
              <w:lastRenderedPageBreak/>
              <w:t>Handelsname des Zellstoffs</w:t>
            </w:r>
          </w:p>
        </w:tc>
        <w:tc>
          <w:tcPr>
            <w:tcW w:w="1629" w:type="dxa"/>
          </w:tcPr>
          <w:p w:rsidR="0078760D" w:rsidRPr="0078760D" w:rsidRDefault="0078760D" w:rsidP="0078760D">
            <w:pPr>
              <w:rPr>
                <w:rFonts w:cs="Arial"/>
                <w:b/>
                <w:sz w:val="18"/>
              </w:rPr>
            </w:pPr>
            <w:r w:rsidRPr="0078760D">
              <w:rPr>
                <w:rFonts w:cs="Arial"/>
                <w:b/>
                <w:sz w:val="18"/>
              </w:rPr>
              <w:t>Zertifizierungssystem</w:t>
            </w:r>
          </w:p>
        </w:tc>
        <w:tc>
          <w:tcPr>
            <w:tcW w:w="1630" w:type="dxa"/>
          </w:tcPr>
          <w:p w:rsidR="0078760D" w:rsidRPr="0078760D" w:rsidRDefault="0078760D" w:rsidP="0078760D">
            <w:pPr>
              <w:rPr>
                <w:rFonts w:cs="Arial"/>
                <w:b/>
                <w:sz w:val="18"/>
              </w:rPr>
            </w:pPr>
            <w:r w:rsidRPr="0078760D">
              <w:rPr>
                <w:rFonts w:cs="Arial"/>
                <w:b/>
                <w:sz w:val="18"/>
              </w:rPr>
              <w:t>Wissenschaftlicher Name der Baumart</w:t>
            </w:r>
          </w:p>
        </w:tc>
        <w:tc>
          <w:tcPr>
            <w:tcW w:w="1629" w:type="dxa"/>
          </w:tcPr>
          <w:p w:rsidR="0078760D" w:rsidRPr="0078760D" w:rsidRDefault="0078760D" w:rsidP="0078760D">
            <w:pPr>
              <w:rPr>
                <w:rFonts w:cs="Arial"/>
                <w:b/>
                <w:sz w:val="18"/>
              </w:rPr>
            </w:pPr>
            <w:r w:rsidRPr="0078760D">
              <w:rPr>
                <w:rFonts w:cs="Arial"/>
                <w:b/>
                <w:sz w:val="18"/>
              </w:rPr>
              <w:t>Geographische Lage des Waldes (Land)</w:t>
            </w:r>
          </w:p>
        </w:tc>
        <w:tc>
          <w:tcPr>
            <w:tcW w:w="1629" w:type="dxa"/>
          </w:tcPr>
          <w:p w:rsidR="0078760D" w:rsidRPr="0078760D" w:rsidRDefault="0078760D" w:rsidP="0078760D">
            <w:pPr>
              <w:rPr>
                <w:rFonts w:cs="Arial"/>
                <w:b/>
                <w:sz w:val="18"/>
              </w:rPr>
            </w:pPr>
            <w:r w:rsidRPr="0078760D">
              <w:rPr>
                <w:rFonts w:cs="Arial"/>
                <w:b/>
                <w:sz w:val="18"/>
              </w:rPr>
              <w:t>Zertifikatsnummer</w:t>
            </w:r>
          </w:p>
        </w:tc>
        <w:tc>
          <w:tcPr>
            <w:tcW w:w="1630" w:type="dxa"/>
          </w:tcPr>
          <w:p w:rsidR="0078760D" w:rsidRPr="0078760D" w:rsidRDefault="0078760D" w:rsidP="0078760D">
            <w:pPr>
              <w:rPr>
                <w:rFonts w:cs="Arial"/>
                <w:b/>
                <w:sz w:val="18"/>
              </w:rPr>
            </w:pPr>
            <w:r w:rsidRPr="0078760D">
              <w:rPr>
                <w:rFonts w:cs="Arial"/>
                <w:b/>
                <w:sz w:val="18"/>
              </w:rPr>
              <w:t>Zertifizierungsaussage</w:t>
            </w:r>
          </w:p>
        </w:tc>
      </w:tr>
      <w:tr w:rsidR="0078760D" w:rsidTr="000705AE">
        <w:tc>
          <w:tcPr>
            <w:tcW w:w="1629" w:type="dxa"/>
            <w:gridSpan w:val="2"/>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78760D" w:rsidTr="000705AE">
        <w:tc>
          <w:tcPr>
            <w:tcW w:w="1629" w:type="dxa"/>
            <w:gridSpan w:val="2"/>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78760D" w:rsidTr="000705AE">
        <w:tc>
          <w:tcPr>
            <w:tcW w:w="1629" w:type="dxa"/>
            <w:gridSpan w:val="2"/>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78760D" w:rsidTr="000705AE">
        <w:tc>
          <w:tcPr>
            <w:tcW w:w="1629" w:type="dxa"/>
            <w:gridSpan w:val="2"/>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29"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c>
          <w:tcPr>
            <w:tcW w:w="1630" w:type="dxa"/>
          </w:tcPr>
          <w:p w:rsidR="0078760D" w:rsidRPr="00821165" w:rsidRDefault="0078760D" w:rsidP="00617284">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094869" w:rsidTr="00E528C1">
        <w:tc>
          <w:tcPr>
            <w:tcW w:w="1413" w:type="dxa"/>
            <w:shd w:val="clear" w:color="auto" w:fill="F2F2F2" w:themeFill="background1" w:themeFillShade="F2"/>
          </w:tcPr>
          <w:p w:rsidR="00094869" w:rsidRPr="00E528C1" w:rsidRDefault="00E528C1" w:rsidP="001E0D08">
            <w:pPr>
              <w:jc w:val="both"/>
              <w:rPr>
                <w:rFonts w:cs="Arial"/>
                <w:b/>
              </w:rPr>
            </w:pPr>
            <w:r w:rsidRPr="00E528C1">
              <w:rPr>
                <w:rFonts w:cs="Arial"/>
                <w:b/>
              </w:rPr>
              <w:t>3.3.2</w:t>
            </w:r>
          </w:p>
        </w:tc>
        <w:tc>
          <w:tcPr>
            <w:tcW w:w="8363" w:type="dxa"/>
            <w:gridSpan w:val="6"/>
            <w:shd w:val="clear" w:color="auto" w:fill="F2F2F2" w:themeFill="background1" w:themeFillShade="F2"/>
          </w:tcPr>
          <w:p w:rsidR="00094869" w:rsidRPr="00E528C1" w:rsidRDefault="00E528C1" w:rsidP="001E0D08">
            <w:pPr>
              <w:jc w:val="both"/>
              <w:rPr>
                <w:rFonts w:cs="Arial"/>
                <w:b/>
              </w:rPr>
            </w:pPr>
            <w:r w:rsidRPr="00E528C1">
              <w:rPr>
                <w:rFonts w:cs="Arial"/>
                <w:b/>
              </w:rPr>
              <w:t>Abwasseremissionen bei der Zellstoffherstellung</w:t>
            </w:r>
          </w:p>
        </w:tc>
      </w:tr>
      <w:tr w:rsidR="00094869" w:rsidTr="00D13A96">
        <w:tc>
          <w:tcPr>
            <w:tcW w:w="1413" w:type="dxa"/>
          </w:tcPr>
          <w:p w:rsidR="00094869" w:rsidRDefault="00094869" w:rsidP="001E0D08">
            <w:pPr>
              <w:jc w:val="both"/>
              <w:rPr>
                <w:rFonts w:cs="Arial"/>
              </w:rPr>
            </w:pPr>
          </w:p>
        </w:tc>
        <w:tc>
          <w:tcPr>
            <w:tcW w:w="8363" w:type="dxa"/>
            <w:gridSpan w:val="6"/>
          </w:tcPr>
          <w:p w:rsidR="00E528C1" w:rsidRDefault="00E528C1" w:rsidP="00E528C1">
            <w:r w:rsidRPr="001B3C66">
              <w:t>Für die Herstellung des in Thermopapier eingesetzten Zellstoffes gelten strenge Anforderungen an die Emissionen ins Abwasser. Zellstoffwerke haben in der Regel eigene Abwasserbehandlungsanlagen und sind daher Direkteinleiter. Der Antragsteller muss die Abwasseremissionen im Zellstoffwerk für folgende chemische Stoffe bestimmen (Messvorschrift siehe Anhang C „Messungen der Abwasseremissionen“):</w:t>
            </w:r>
          </w:p>
          <w:p w:rsidR="00E528C1" w:rsidRPr="00E11F81" w:rsidRDefault="00E528C1" w:rsidP="00E528C1">
            <w:pPr>
              <w:pStyle w:val="AufzhlungPunkt1"/>
            </w:pPr>
            <w:r w:rsidRPr="00E11F81">
              <w:t>Chemischer Sauerstoffbedarf (CSB) in Kilogramm O</w:t>
            </w:r>
            <w:r w:rsidRPr="00E11F81">
              <w:rPr>
                <w:rStyle w:val="Funotenzeichen"/>
              </w:rPr>
              <w:footnoteReference w:id="1"/>
            </w:r>
            <w:r w:rsidRPr="00E11F81">
              <w:t xml:space="preserve"> pro Tonne lufttrocken</w:t>
            </w:r>
            <w:r w:rsidRPr="00E11F81">
              <w:rPr>
                <w:rStyle w:val="Funotenzeichen"/>
              </w:rPr>
              <w:footnoteReference w:id="2"/>
            </w:r>
            <w:r w:rsidRPr="00E11F81">
              <w:br/>
              <w:t>Anteil chemisch oxidierbarer organischer Bestandteile in Abwasser (gewöhnlich bezogen auf Analysen mit Dichromatoxidation) angegeben als O</w:t>
            </w:r>
          </w:p>
          <w:p w:rsidR="00E528C1" w:rsidRPr="00E11F81" w:rsidRDefault="00E528C1" w:rsidP="00E528C1">
            <w:pPr>
              <w:pStyle w:val="AufzhlungPunkt1"/>
            </w:pPr>
            <w:r w:rsidRPr="00E11F81">
              <w:t>Gesamtstickstoffgehalt in Kilogramm N pro Tonne lufttrocken</w:t>
            </w:r>
            <w:r w:rsidRPr="00E11F81">
              <w:tab/>
            </w:r>
            <w:r w:rsidRPr="00E11F81">
              <w:br/>
              <w:t>Gesamt-N (Total nitrogen, Tot-N), angegeben als N. Dies beinhaltet organischen Stickstoff, freies Ammoniak und Ammonium (NH4+-N), Nitrite (NO2--N) und Nitrate (NO3--N).</w:t>
            </w:r>
          </w:p>
          <w:p w:rsidR="00E528C1" w:rsidRDefault="00E528C1" w:rsidP="00E528C1">
            <w:pPr>
              <w:pStyle w:val="AufzhlungPunkt1"/>
            </w:pPr>
            <w:r w:rsidRPr="00E11F81">
              <w:t>Gesamtphosphorgehalt in Kilogramm P pro Tonne lufttrocken</w:t>
            </w:r>
            <w:r w:rsidRPr="00E11F81">
              <w:tab/>
            </w:r>
            <w:r w:rsidRPr="00E11F81">
              <w:br/>
              <w:t>Gesamt-P (Tot-P), angegeben als P. Dies beinhaltet sowohl gelösten Phosphor als auch nicht löslichen Phosphor, der in Form von Ausfällungen oder mit Mikroorganismen in das Abwasser gelangt.</w:t>
            </w:r>
          </w:p>
          <w:p w:rsidR="00E528C1" w:rsidRDefault="00E528C1" w:rsidP="00E528C1">
            <w:pPr>
              <w:pStyle w:val="AufzhlungPunkt1"/>
              <w:numPr>
                <w:ilvl w:val="0"/>
                <w:numId w:val="0"/>
              </w:numPr>
              <w:ind w:left="426" w:hanging="426"/>
            </w:pPr>
          </w:p>
          <w:p w:rsidR="00E528C1" w:rsidRDefault="00E528C1" w:rsidP="00E528C1">
            <w:pPr>
              <w:pStyle w:val="AufzhlungPunkt1"/>
              <w:numPr>
                <w:ilvl w:val="0"/>
                <w:numId w:val="0"/>
              </w:numPr>
              <w:ind w:left="426" w:hanging="426"/>
            </w:pPr>
            <w:r w:rsidRPr="00BC0FAB">
              <w:t>Für die genannten Stoffe gelten folgende Referenzwerte:</w:t>
            </w:r>
          </w:p>
          <w:p w:rsidR="00E528C1" w:rsidRPr="00BC0FAB" w:rsidRDefault="00E528C1" w:rsidP="00E528C1">
            <w:pPr>
              <w:pStyle w:val="Standardeingercktum0"/>
            </w:pPr>
            <w:r w:rsidRPr="00BC0FAB">
              <w:t>Chemischer Sauerstoffbedarf:</w:t>
            </w:r>
            <w:r w:rsidRPr="00BC0FAB">
              <w:tab/>
              <w:t>CSBReferenz = 18,00 kg O/Tonne lufttrocken</w:t>
            </w:r>
          </w:p>
          <w:p w:rsidR="00E528C1" w:rsidRPr="00BC0FAB" w:rsidRDefault="00E528C1" w:rsidP="00E528C1">
            <w:pPr>
              <w:pStyle w:val="Standardeingercktum0"/>
            </w:pPr>
            <w:r w:rsidRPr="00BC0FAB">
              <w:t>Gesamtstickstoffgehalt:</w:t>
            </w:r>
            <w:r w:rsidRPr="00BC0FAB">
              <w:tab/>
            </w:r>
            <w:r w:rsidRPr="00BC0FAB">
              <w:tab/>
              <w:t>NReferenz = 0,25 kg N/Tonne lufttrocken</w:t>
            </w:r>
          </w:p>
          <w:p w:rsidR="00E528C1" w:rsidRDefault="00E528C1" w:rsidP="00E528C1">
            <w:pPr>
              <w:pStyle w:val="Standardeingercktum0"/>
            </w:pPr>
            <w:r w:rsidRPr="00BC0FAB">
              <w:t>Gesamtphosphorgehalt:</w:t>
            </w:r>
            <w:r w:rsidRPr="00BC0FAB">
              <w:tab/>
              <w:t>PReferenz = 0,03 kg P/Tonne lufttrocken</w:t>
            </w:r>
          </w:p>
          <w:p w:rsidR="00E528C1" w:rsidRDefault="00E528C1" w:rsidP="00E528C1">
            <w:pPr>
              <w:pStyle w:val="Standardeingercktum0"/>
              <w:ind w:left="0"/>
            </w:pPr>
          </w:p>
          <w:p w:rsidR="00E528C1" w:rsidRDefault="00E528C1" w:rsidP="00E528C1">
            <w:pPr>
              <w:pStyle w:val="Standardeingercktum0"/>
              <w:ind w:left="0"/>
            </w:pPr>
            <w:r w:rsidRPr="003B69F4">
              <w:t>Ausgehend von den Messwerten muss der Antragsteller für jeden der gemessenen Stoffe sogenannte Belastungspunkte (P) als Verhältnis des Messwertes zum Referenzwert wie folgt berechnen:</w:t>
            </w:r>
          </w:p>
          <w:p w:rsidR="00E528C1" w:rsidRDefault="00E528C1" w:rsidP="00E528C1"/>
          <w:p w:rsidR="00E528C1" w:rsidRPr="002E3F6E" w:rsidRDefault="00A81EBE" w:rsidP="00E528C1">
            <m:oMathPara>
              <m:oMath>
                <m:sSub>
                  <m:sSubPr>
                    <m:ctrlPr>
                      <w:rPr>
                        <w:rFonts w:ascii="Cambria Math" w:hAnsi="Cambria Math"/>
                      </w:rPr>
                    </m:ctrlPr>
                  </m:sSubPr>
                  <m:e>
                    <m:r>
                      <w:rPr>
                        <w:rFonts w:ascii="Cambria Math" w:hAnsi="Cambria Math"/>
                      </w:rPr>
                      <m:t>P</m:t>
                    </m:r>
                  </m:e>
                  <m:sub>
                    <m:r>
                      <w:rPr>
                        <w:rFonts w:ascii="Cambria Math" w:hAnsi="Cambria Math"/>
                      </w:rPr>
                      <m:t>CSB</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CSB</m:t>
                        </m:r>
                      </m:e>
                      <m:sub>
                        <m:r>
                          <w:rPr>
                            <w:rFonts w:ascii="Cambria Math" w:hAnsi="Cambria Math"/>
                          </w:rPr>
                          <m:t>Messwert</m:t>
                        </m:r>
                      </m:sub>
                    </m:sSub>
                  </m:num>
                  <m:den>
                    <m:sSub>
                      <m:sSubPr>
                        <m:ctrlPr>
                          <w:rPr>
                            <w:rFonts w:ascii="Cambria Math" w:hAnsi="Cambria Math"/>
                          </w:rPr>
                        </m:ctrlPr>
                      </m:sSubPr>
                      <m:e>
                        <m:r>
                          <w:rPr>
                            <w:rFonts w:ascii="Cambria Math" w:hAnsi="Cambria Math"/>
                          </w:rPr>
                          <m:t>CSB</m:t>
                        </m:r>
                      </m:e>
                      <m:sub>
                        <m:r>
                          <w:rPr>
                            <w:rFonts w:ascii="Cambria Math" w:hAnsi="Cambria Math"/>
                          </w:rPr>
                          <m:t>Referenz</m:t>
                        </m:r>
                      </m:sub>
                    </m:sSub>
                  </m:den>
                </m:f>
                <m:r>
                  <m:rPr>
                    <m:sty m:val="p"/>
                  </m:rPr>
                  <w:rPr>
                    <w:rFonts w:ascii="Cambria Math" w:hAnsi="Cambria Math"/>
                  </w:rPr>
                  <w:br/>
                </m:r>
              </m:oMath>
            </m:oMathPara>
          </w:p>
          <w:p w:rsidR="00E528C1" w:rsidRPr="002E3F6E" w:rsidRDefault="00A81EBE" w:rsidP="00E528C1">
            <m:oMathPara>
              <m:oMath>
                <m:sSub>
                  <m:sSubPr>
                    <m:ctrlPr>
                      <w:rPr>
                        <w:rFonts w:ascii="Cambria Math" w:hAnsi="Cambria Math"/>
                      </w:rPr>
                    </m:ctrlPr>
                  </m:sSubPr>
                  <m:e>
                    <m:r>
                      <w:rPr>
                        <w:rFonts w:ascii="Cambria Math" w:hAnsi="Cambria Math"/>
                      </w:rPr>
                      <m:t>P</m:t>
                    </m:r>
                  </m:e>
                  <m:sub>
                    <m:r>
                      <w:rPr>
                        <w:rFonts w:ascii="Cambria Math" w:hAnsi="Cambria Math"/>
                      </w:rPr>
                      <m:t>N</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m:t>
                        </m:r>
                      </m:e>
                      <m:sub>
                        <m:r>
                          <w:rPr>
                            <w:rFonts w:ascii="Cambria Math" w:hAnsi="Cambria Math"/>
                          </w:rPr>
                          <m:t>Messwert</m:t>
                        </m:r>
                      </m:sub>
                    </m:sSub>
                  </m:num>
                  <m:den>
                    <m:sSub>
                      <m:sSubPr>
                        <m:ctrlPr>
                          <w:rPr>
                            <w:rFonts w:ascii="Cambria Math" w:hAnsi="Cambria Math"/>
                          </w:rPr>
                        </m:ctrlPr>
                      </m:sSubPr>
                      <m:e>
                        <m:r>
                          <w:rPr>
                            <w:rFonts w:ascii="Cambria Math" w:hAnsi="Cambria Math"/>
                          </w:rPr>
                          <m:t>N</m:t>
                        </m:r>
                      </m:e>
                      <m:sub>
                        <m:r>
                          <w:rPr>
                            <w:rFonts w:ascii="Cambria Math" w:hAnsi="Cambria Math"/>
                          </w:rPr>
                          <m:t>Referenz</m:t>
                        </m:r>
                      </m:sub>
                    </m:sSub>
                  </m:den>
                </m:f>
                <m:r>
                  <m:rPr>
                    <m:sty m:val="p"/>
                  </m:rPr>
                  <w:rPr>
                    <w:rFonts w:ascii="Cambria Math" w:hAnsi="Cambria Math"/>
                  </w:rPr>
                  <w:br/>
                </m:r>
              </m:oMath>
            </m:oMathPara>
          </w:p>
          <w:p w:rsidR="00E528C1" w:rsidRPr="002E3F6E" w:rsidRDefault="00A81EBE" w:rsidP="00E528C1">
            <m:oMathPara>
              <m:oMath>
                <m:sSub>
                  <m:sSubPr>
                    <m:ctrlPr>
                      <w:rPr>
                        <w:rFonts w:ascii="Cambria Math" w:hAnsi="Cambria Math"/>
                      </w:rPr>
                    </m:ctrlPr>
                  </m:sSubPr>
                  <m:e>
                    <m:r>
                      <w:rPr>
                        <w:rFonts w:ascii="Cambria Math" w:hAnsi="Cambria Math"/>
                      </w:rPr>
                      <m:t>P</m:t>
                    </m:r>
                  </m:e>
                  <m:sub>
                    <m:r>
                      <w:rPr>
                        <w:rFonts w:ascii="Cambria Math" w:hAnsi="Cambria Math"/>
                      </w:rPr>
                      <m:t>P</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Messwert</m:t>
                        </m:r>
                      </m:sub>
                    </m:sSub>
                  </m:num>
                  <m:den>
                    <m:sSub>
                      <m:sSubPr>
                        <m:ctrlPr>
                          <w:rPr>
                            <w:rFonts w:ascii="Cambria Math" w:hAnsi="Cambria Math"/>
                          </w:rPr>
                        </m:ctrlPr>
                      </m:sSubPr>
                      <m:e>
                        <m:r>
                          <w:rPr>
                            <w:rFonts w:ascii="Cambria Math" w:hAnsi="Cambria Math"/>
                          </w:rPr>
                          <m:t>P</m:t>
                        </m:r>
                      </m:e>
                      <m:sub>
                        <m:r>
                          <w:rPr>
                            <w:rFonts w:ascii="Cambria Math" w:hAnsi="Cambria Math"/>
                          </w:rPr>
                          <m:t>Referenz</m:t>
                        </m:r>
                      </m:sub>
                    </m:sSub>
                  </m:den>
                </m:f>
              </m:oMath>
            </m:oMathPara>
          </w:p>
          <w:p w:rsidR="00E528C1" w:rsidRPr="002E3F6E" w:rsidRDefault="00E528C1" w:rsidP="00E528C1"/>
          <w:p w:rsidR="006A150D" w:rsidRDefault="006A150D" w:rsidP="00E528C1"/>
          <w:p w:rsidR="00E528C1" w:rsidRDefault="00E528C1" w:rsidP="00E528C1">
            <w:r w:rsidRPr="00A7517B">
              <w:lastRenderedPageBreak/>
              <w:t>Es gelten folgende Anforderungen:</w:t>
            </w:r>
          </w:p>
          <w:p w:rsidR="006A150D" w:rsidRDefault="006A150D" w:rsidP="00E528C1"/>
          <w:p w:rsidR="00E528C1" w:rsidRDefault="00E528C1" w:rsidP="00E528C1">
            <w:r w:rsidRPr="00A7517B">
              <w:t>Für jeden einzelnen der Belastungspunkte PCSB, PN, PP darf ein Wert von jeweils 1,5 nicht überschritten werden und die Summe der Belastungspunkte der Abwasseremissionen (PCSB, PN und PP) darf einen Wert von 3,0 nicht überschreiten.</w:t>
            </w:r>
          </w:p>
          <w:p w:rsidR="00E528C1" w:rsidRPr="00A7517B" w:rsidRDefault="00E528C1" w:rsidP="00E528C1"/>
          <w:p w:rsidR="00094869" w:rsidRDefault="00E528C1" w:rsidP="00E528C1">
            <w:pPr>
              <w:jc w:val="both"/>
              <w:rPr>
                <w:rFonts w:cs="Arial"/>
              </w:rPr>
            </w:pPr>
            <w:r w:rsidRPr="00A7517B">
              <w:t>Des Weiteren ist der AOX-Wert im Abwasser zu bestimmen.</w:t>
            </w:r>
          </w:p>
        </w:tc>
      </w:tr>
      <w:tr w:rsidR="00E528C1" w:rsidTr="00E528C1">
        <w:tc>
          <w:tcPr>
            <w:tcW w:w="1413" w:type="dxa"/>
            <w:shd w:val="clear" w:color="auto" w:fill="F2F2F2" w:themeFill="background1" w:themeFillShade="F2"/>
          </w:tcPr>
          <w:p w:rsidR="00E528C1" w:rsidRPr="00E528C1" w:rsidRDefault="00E528C1" w:rsidP="001E0D08">
            <w:pPr>
              <w:jc w:val="both"/>
              <w:rPr>
                <w:rFonts w:cs="Arial"/>
                <w:b/>
              </w:rPr>
            </w:pPr>
            <w:r w:rsidRPr="00E528C1">
              <w:rPr>
                <w:rFonts w:cs="Arial"/>
                <w:b/>
              </w:rPr>
              <w:lastRenderedPageBreak/>
              <w:t>3.3.3</w:t>
            </w:r>
          </w:p>
        </w:tc>
        <w:tc>
          <w:tcPr>
            <w:tcW w:w="8363" w:type="dxa"/>
            <w:gridSpan w:val="6"/>
            <w:shd w:val="clear" w:color="auto" w:fill="F2F2F2" w:themeFill="background1" w:themeFillShade="F2"/>
          </w:tcPr>
          <w:p w:rsidR="00E528C1" w:rsidRPr="00E528C1" w:rsidRDefault="00E528C1" w:rsidP="001E0D08">
            <w:pPr>
              <w:jc w:val="both"/>
              <w:rPr>
                <w:rFonts w:cs="Arial"/>
                <w:b/>
              </w:rPr>
            </w:pPr>
            <w:r w:rsidRPr="00E528C1">
              <w:rPr>
                <w:rFonts w:cs="Arial"/>
                <w:b/>
              </w:rPr>
              <w:t>Abluftemission bei der Zellstoffherstellung</w:t>
            </w:r>
          </w:p>
        </w:tc>
      </w:tr>
      <w:tr w:rsidR="00E528C1" w:rsidTr="00D13A96">
        <w:tc>
          <w:tcPr>
            <w:tcW w:w="1413" w:type="dxa"/>
          </w:tcPr>
          <w:p w:rsidR="00E528C1" w:rsidRDefault="00E528C1" w:rsidP="001E0D08">
            <w:pPr>
              <w:jc w:val="both"/>
              <w:rPr>
                <w:rFonts w:cs="Arial"/>
              </w:rPr>
            </w:pPr>
          </w:p>
        </w:tc>
        <w:tc>
          <w:tcPr>
            <w:tcW w:w="8363" w:type="dxa"/>
            <w:gridSpan w:val="6"/>
          </w:tcPr>
          <w:p w:rsidR="00E528C1" w:rsidRDefault="00E528C1" w:rsidP="00E528C1">
            <w:r w:rsidRPr="00057405">
              <w:t>Für die Herstellung des in Thermopapier eingesetzten Zellstoffes gelten strenge Anforderungen an die Abluftemissionen. Die Abluftemissionen umfassen Rückgewinnungskessel, Kalköfen, Dampfkessel und Verbrennungsöfen für stark riechende Gase. Diffuse Emissionen sind zu berücksichtigen. Der Antragsteller muss die Abluftemissionen im Zellstoffwerk für folgende chemischen Stoffe bestimmen (Messvorschrift siehe Anhang D „Messungen der Abluftemissionen“):</w:t>
            </w:r>
          </w:p>
          <w:p w:rsidR="00E528C1" w:rsidRDefault="00E528C1" w:rsidP="00E528C1">
            <w:pPr>
              <w:pStyle w:val="AufzhlungPunkt1"/>
            </w:pPr>
            <w:r w:rsidRPr="00057405">
              <w:t>Gasförmige Schwefelverbindungen (Schwefel) in Kilogramm S pro Tonne lufttrocken</w:t>
            </w:r>
          </w:p>
          <w:p w:rsidR="00E528C1" w:rsidRPr="00057405" w:rsidRDefault="00E528C1" w:rsidP="00E528C1">
            <w:pPr>
              <w:pStyle w:val="Standardeingercktum0"/>
            </w:pPr>
            <w:r w:rsidRPr="00057405">
              <w:t>Gesamte reduzierte Schwefelverbindungen (TRS - Total reduced sulphur): Summe der folgenden reduzierten übelriechenden Schwefelverbindungen, die bei der Zellstoffherstellung freigesetzt werden: Schwefelwasserstoff, Methylmercaptan, Dimethylsulfid und Dimethyldisulfid, angegeben als S, zuzüglich Schwefeldioxyd (SO</w:t>
            </w:r>
            <w:r w:rsidRPr="00057405">
              <w:rPr>
                <w:rStyle w:val="Tiefgestellt"/>
              </w:rPr>
              <w:t>2</w:t>
            </w:r>
            <w:r w:rsidRPr="00057405">
              <w:t>), angegeben als S</w:t>
            </w:r>
          </w:p>
          <w:p w:rsidR="00E528C1" w:rsidRDefault="00E528C1" w:rsidP="00E528C1">
            <w:pPr>
              <w:pStyle w:val="AufzhlungPunkt1"/>
            </w:pPr>
            <w:r w:rsidRPr="00057405">
              <w:t>Stickoxide (NO</w:t>
            </w:r>
            <w:r w:rsidRPr="00057405">
              <w:rPr>
                <w:rStyle w:val="Tiefgestellt"/>
              </w:rPr>
              <w:t>x</w:t>
            </w:r>
            <w:r w:rsidRPr="00057405">
              <w:t>) in Kilogramm NO</w:t>
            </w:r>
            <w:r w:rsidRPr="00057405">
              <w:rPr>
                <w:rStyle w:val="Tiefgestellt"/>
              </w:rPr>
              <w:t>x</w:t>
            </w:r>
            <w:r w:rsidRPr="00057405">
              <w:t xml:space="preserve"> pro Tonne lufttrocken</w:t>
            </w:r>
            <w:r>
              <w:t xml:space="preserve"> </w:t>
            </w:r>
          </w:p>
          <w:p w:rsidR="00E528C1" w:rsidRPr="00057405" w:rsidRDefault="00E528C1" w:rsidP="00E528C1">
            <w:pPr>
              <w:pStyle w:val="AufzhlungPunkt1"/>
              <w:numPr>
                <w:ilvl w:val="0"/>
                <w:numId w:val="0"/>
              </w:numPr>
              <w:ind w:left="426"/>
            </w:pPr>
            <w:r w:rsidRPr="00057405">
              <w:t>Summe von Stickoxid (NO) und Stickstoffdioxid (NO</w:t>
            </w:r>
            <w:r w:rsidRPr="00057405">
              <w:rPr>
                <w:rStyle w:val="Tiefgestellt"/>
              </w:rPr>
              <w:t>2</w:t>
            </w:r>
            <w:r w:rsidRPr="00057405">
              <w:t>), angegeben als NO</w:t>
            </w:r>
            <w:r w:rsidRPr="00057405">
              <w:rPr>
                <w:rStyle w:val="Tiefgestellt"/>
              </w:rPr>
              <w:t>2</w:t>
            </w:r>
          </w:p>
          <w:p w:rsidR="00E528C1" w:rsidRDefault="00E528C1" w:rsidP="00E528C1">
            <w:pPr>
              <w:pStyle w:val="AufzhlungPunkt1"/>
            </w:pPr>
            <w:r w:rsidRPr="00057405">
              <w:t>Staubemissionen (Staub) in Kilogramm Staub pro Tonne lufttrocken</w:t>
            </w:r>
          </w:p>
          <w:p w:rsidR="00E528C1" w:rsidRDefault="00E528C1" w:rsidP="00E528C1">
            <w:pPr>
              <w:pStyle w:val="Standardeingercktum0"/>
            </w:pPr>
            <w:r>
              <w:t>S</w:t>
            </w:r>
            <w:r w:rsidRPr="00057405">
              <w:t xml:space="preserve">umme der Staubemissionen am Ablaugekessel und Kalkofen, angegeben als Staub. </w:t>
            </w:r>
            <w:bookmarkStart w:id="6" w:name="_Hlk56414553"/>
            <w:r w:rsidRPr="00057405">
              <w:t xml:space="preserve">Feste Partikel beliebiger Form, Struktur oder Dichte, die in der Gasphase dispergiert sind und vor einem bestimmten Filter und auf diesem nach dem Trocknen unter bestimmten Bedingungen verbleiben. </w:t>
            </w:r>
            <w:r>
              <w:t>G</w:t>
            </w:r>
            <w:r w:rsidRPr="00057405">
              <w:t>emäß DIN EN 13284 - 1</w:t>
            </w:r>
            <w:bookmarkEnd w:id="6"/>
          </w:p>
          <w:p w:rsidR="00E528C1" w:rsidRDefault="00E528C1" w:rsidP="00E528C1">
            <w:pPr>
              <w:pStyle w:val="Standardeingercktum0"/>
              <w:ind w:left="0"/>
            </w:pPr>
          </w:p>
          <w:p w:rsidR="00E528C1" w:rsidRDefault="00E528C1" w:rsidP="00E528C1">
            <w:r w:rsidRPr="00057405">
              <w:t>Für die genannten Stoffe gelten folgende Referenzwerte:</w:t>
            </w:r>
          </w:p>
          <w:p w:rsidR="00E528C1" w:rsidRPr="00981B93" w:rsidRDefault="00E528C1" w:rsidP="00E528C1">
            <w:pPr>
              <w:pStyle w:val="AufzhlungPunkt1"/>
            </w:pPr>
            <w:r w:rsidRPr="00981B93">
              <w:t>Gasförmige Schwefelverbindungen:</w:t>
            </w:r>
            <w:r w:rsidRPr="00981B93">
              <w:tab/>
              <w:t>Schwefel</w:t>
            </w:r>
            <w:r w:rsidRPr="00981B93">
              <w:rPr>
                <w:rStyle w:val="Tiefgestellt"/>
              </w:rPr>
              <w:t>Referenz</w:t>
            </w:r>
            <w:r w:rsidRPr="00981B93">
              <w:t xml:space="preserve"> = 0,6 kg S/Tonne lufttrocken</w:t>
            </w:r>
          </w:p>
          <w:p w:rsidR="00E528C1" w:rsidRDefault="00E528C1" w:rsidP="00E528C1">
            <w:pPr>
              <w:pStyle w:val="AufzhlungPunkt1"/>
            </w:pPr>
            <w:r w:rsidRPr="00981B93">
              <w:t>Stickoxide:</w:t>
            </w:r>
            <w:r w:rsidRPr="00981B93">
              <w:tab/>
            </w:r>
            <w:r w:rsidRPr="00981B93">
              <w:tab/>
            </w:r>
            <w:r w:rsidRPr="00981B93">
              <w:tab/>
            </w:r>
            <w:r w:rsidRPr="00981B93">
              <w:tab/>
              <w:t>NO</w:t>
            </w:r>
            <w:r w:rsidRPr="00981B93">
              <w:rPr>
                <w:rStyle w:val="Tiefgestellt"/>
              </w:rPr>
              <w:t>xReferenz</w:t>
            </w:r>
            <w:r w:rsidRPr="00981B93">
              <w:t xml:space="preserve"> = 1,5 kg NO/Tonne lufttrocken</w:t>
            </w:r>
          </w:p>
          <w:p w:rsidR="00E528C1" w:rsidRDefault="00E528C1" w:rsidP="00E528C1">
            <w:pPr>
              <w:pStyle w:val="AufzhlungPunkt1"/>
              <w:numPr>
                <w:ilvl w:val="0"/>
                <w:numId w:val="0"/>
              </w:numPr>
            </w:pPr>
          </w:p>
          <w:p w:rsidR="00E528C1" w:rsidRDefault="00E528C1" w:rsidP="00E528C1">
            <w:r w:rsidRPr="00981B93">
              <w:t>Ausgehend von den Messwerten muss der Antragsteller für jeden der gemessenen Stoffe sogenannte Belastungspunkte (P) als Verhältnis des Messwertes zum Referenzwert wie folgt berechnen:</w:t>
            </w:r>
          </w:p>
          <w:p w:rsidR="00E528C1" w:rsidRDefault="00E528C1" w:rsidP="00E528C1"/>
          <w:p w:rsidR="00E528C1" w:rsidRPr="00981B93" w:rsidRDefault="00A81EBE" w:rsidP="00E528C1">
            <m:oMathPara>
              <m:oMath>
                <m:sSub>
                  <m:sSubPr>
                    <m:ctrlPr>
                      <w:rPr>
                        <w:rFonts w:ascii="Cambria Math" w:hAnsi="Cambria Math"/>
                      </w:rPr>
                    </m:ctrlPr>
                  </m:sSubPr>
                  <m:e>
                    <m:r>
                      <w:rPr>
                        <w:rFonts w:ascii="Cambria Math" w:hAnsi="Cambria Math"/>
                      </w:rPr>
                      <m:t>P</m:t>
                    </m:r>
                  </m:e>
                  <m:sub>
                    <m:r>
                      <w:rPr>
                        <w:rFonts w:ascii="Cambria Math" w:hAnsi="Cambria Math"/>
                      </w:rPr>
                      <m:t>Schwefel</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Schwefel</m:t>
                        </m:r>
                      </m:e>
                      <m:sub>
                        <m:r>
                          <w:rPr>
                            <w:rFonts w:ascii="Cambria Math" w:hAnsi="Cambria Math"/>
                          </w:rPr>
                          <m:t>Messwert</m:t>
                        </m:r>
                      </m:sub>
                    </m:sSub>
                  </m:num>
                  <m:den>
                    <m:sSub>
                      <m:sSubPr>
                        <m:ctrlPr>
                          <w:rPr>
                            <w:rFonts w:ascii="Cambria Math" w:hAnsi="Cambria Math"/>
                          </w:rPr>
                        </m:ctrlPr>
                      </m:sSubPr>
                      <m:e>
                        <m:r>
                          <w:rPr>
                            <w:rFonts w:ascii="Cambria Math" w:hAnsi="Cambria Math"/>
                          </w:rPr>
                          <m:t>Schwefel</m:t>
                        </m:r>
                      </m:e>
                      <m:sub>
                        <m:r>
                          <w:rPr>
                            <w:rFonts w:ascii="Cambria Math" w:hAnsi="Cambria Math"/>
                          </w:rPr>
                          <m:t>Referenz</m:t>
                        </m:r>
                      </m:sub>
                    </m:sSub>
                  </m:den>
                </m:f>
                <m:r>
                  <m:rPr>
                    <m:sty m:val="p"/>
                  </m:rPr>
                  <w:rPr>
                    <w:rFonts w:ascii="Cambria Math" w:hAnsi="Cambria Math"/>
                  </w:rPr>
                  <w:br/>
                </m:r>
              </m:oMath>
            </m:oMathPara>
          </w:p>
          <w:p w:rsidR="00E528C1" w:rsidRPr="00981B93" w:rsidRDefault="00A81EBE" w:rsidP="00E528C1">
            <m:oMathPara>
              <m:oMath>
                <m:sSub>
                  <m:sSubPr>
                    <m:ctrlPr>
                      <w:rPr>
                        <w:rFonts w:ascii="Cambria Math" w:hAnsi="Cambria Math"/>
                      </w:rPr>
                    </m:ctrlPr>
                  </m:sSubPr>
                  <m:e>
                    <m:r>
                      <w:rPr>
                        <w:rFonts w:ascii="Cambria Math" w:hAnsi="Cambria Math"/>
                      </w:rPr>
                      <m:t>P</m:t>
                    </m:r>
                  </m:e>
                  <m:sub>
                    <m:r>
                      <w:rPr>
                        <w:rFonts w:ascii="Cambria Math" w:hAnsi="Cambria Math"/>
                      </w:rPr>
                      <m:t>NOx</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NOx</m:t>
                        </m:r>
                      </m:e>
                      <m:sub>
                        <m:r>
                          <w:rPr>
                            <w:rFonts w:ascii="Cambria Math" w:hAnsi="Cambria Math"/>
                          </w:rPr>
                          <m:t>Messwert</m:t>
                        </m:r>
                      </m:sub>
                    </m:sSub>
                  </m:num>
                  <m:den>
                    <m:sSub>
                      <m:sSubPr>
                        <m:ctrlPr>
                          <w:rPr>
                            <w:rFonts w:ascii="Cambria Math" w:hAnsi="Cambria Math"/>
                          </w:rPr>
                        </m:ctrlPr>
                      </m:sSubPr>
                      <m:e>
                        <m:r>
                          <w:rPr>
                            <w:rFonts w:ascii="Cambria Math" w:hAnsi="Cambria Math"/>
                          </w:rPr>
                          <m:t>NOx</m:t>
                        </m:r>
                      </m:e>
                      <m:sub>
                        <m:r>
                          <w:rPr>
                            <w:rFonts w:ascii="Cambria Math" w:hAnsi="Cambria Math"/>
                          </w:rPr>
                          <m:t>Referenz</m:t>
                        </m:r>
                      </m:sub>
                    </m:sSub>
                  </m:den>
                </m:f>
              </m:oMath>
            </m:oMathPara>
          </w:p>
          <w:p w:rsidR="00E528C1" w:rsidRPr="00981B93" w:rsidRDefault="00E528C1" w:rsidP="00E528C1"/>
          <w:p w:rsidR="00E528C1" w:rsidRDefault="00E528C1" w:rsidP="00E528C1">
            <w:r w:rsidRPr="00542576">
              <w:t>Es gelten folgende Anforderungen:</w:t>
            </w:r>
          </w:p>
          <w:p w:rsidR="00E528C1" w:rsidRDefault="00E528C1" w:rsidP="00E528C1"/>
          <w:p w:rsidR="00E528C1" w:rsidRPr="00542576" w:rsidRDefault="00E528C1" w:rsidP="00E528C1">
            <w:r w:rsidRPr="00542576">
              <w:t>Für jeden einzelnen der Belastungspunkte P</w:t>
            </w:r>
            <w:r w:rsidRPr="00542576">
              <w:rPr>
                <w:rStyle w:val="Tiefgestellt"/>
              </w:rPr>
              <w:t>Schwefel</w:t>
            </w:r>
            <w:r w:rsidRPr="00542576">
              <w:t xml:space="preserve"> und P</w:t>
            </w:r>
            <w:r w:rsidRPr="00542576">
              <w:rPr>
                <w:rStyle w:val="Tiefgestellt"/>
              </w:rPr>
              <w:t>NOx</w:t>
            </w:r>
            <w:r w:rsidRPr="00542576">
              <w:t xml:space="preserve"> darf ein Wert von jeweils 1,5 nicht überschritten werden und die Summe der Belastungspunkte der </w:t>
            </w:r>
            <w:r w:rsidRPr="00542576">
              <w:lastRenderedPageBreak/>
              <w:t>Abluftemissionen (P</w:t>
            </w:r>
            <w:r w:rsidRPr="00542576">
              <w:rPr>
                <w:rStyle w:val="Tiefgestellt"/>
              </w:rPr>
              <w:t>Schwefel</w:t>
            </w:r>
            <w:r w:rsidRPr="00542576">
              <w:t xml:space="preserve"> und P</w:t>
            </w:r>
            <w:r w:rsidRPr="00542576">
              <w:rPr>
                <w:rStyle w:val="Tiefgestellt"/>
              </w:rPr>
              <w:t>NOx</w:t>
            </w:r>
            <w:r w:rsidRPr="00542576">
              <w:t>,) darf einen Wert von 2,0 nicht überschreiten.</w:t>
            </w:r>
          </w:p>
          <w:p w:rsidR="00E528C1" w:rsidRPr="00542576" w:rsidRDefault="00E528C1" w:rsidP="00E528C1"/>
          <w:p w:rsidR="00E528C1" w:rsidRPr="00E528C1" w:rsidRDefault="00E528C1" w:rsidP="00E528C1">
            <w:r w:rsidRPr="00542576">
              <w:t>Die Staubemissionen dürfen den Grenzwert von 0,33 kg Staub/Tonne lufttrocken nicht überschreiten.</w:t>
            </w:r>
          </w:p>
        </w:tc>
      </w:tr>
      <w:tr w:rsidR="00E528C1" w:rsidTr="00E528C1">
        <w:tc>
          <w:tcPr>
            <w:tcW w:w="1413" w:type="dxa"/>
            <w:shd w:val="clear" w:color="auto" w:fill="F2F2F2" w:themeFill="background1" w:themeFillShade="F2"/>
          </w:tcPr>
          <w:p w:rsidR="00E528C1" w:rsidRPr="00E528C1" w:rsidRDefault="00E528C1" w:rsidP="001E0D08">
            <w:pPr>
              <w:jc w:val="both"/>
              <w:rPr>
                <w:rFonts w:cs="Arial"/>
                <w:b/>
              </w:rPr>
            </w:pPr>
            <w:r w:rsidRPr="00E528C1">
              <w:rPr>
                <w:rFonts w:cs="Arial"/>
                <w:b/>
              </w:rPr>
              <w:lastRenderedPageBreak/>
              <w:t>3.3.4</w:t>
            </w:r>
          </w:p>
        </w:tc>
        <w:tc>
          <w:tcPr>
            <w:tcW w:w="8363" w:type="dxa"/>
            <w:gridSpan w:val="6"/>
            <w:shd w:val="clear" w:color="auto" w:fill="F2F2F2" w:themeFill="background1" w:themeFillShade="F2"/>
          </w:tcPr>
          <w:p w:rsidR="00E528C1" w:rsidRPr="00E528C1" w:rsidRDefault="00E528C1" w:rsidP="001E0D08">
            <w:pPr>
              <w:jc w:val="both"/>
              <w:rPr>
                <w:rFonts w:cs="Arial"/>
                <w:b/>
              </w:rPr>
            </w:pPr>
            <w:r w:rsidRPr="00E528C1">
              <w:rPr>
                <w:rFonts w:cs="Arial"/>
                <w:b/>
              </w:rPr>
              <w:t>Bleichverfahren bei der Zellstoffherstellung</w:t>
            </w:r>
          </w:p>
        </w:tc>
      </w:tr>
      <w:tr w:rsidR="00E528C1" w:rsidTr="00D13A96">
        <w:tc>
          <w:tcPr>
            <w:tcW w:w="1413" w:type="dxa"/>
          </w:tcPr>
          <w:p w:rsidR="00E528C1" w:rsidRDefault="00E528C1" w:rsidP="001E0D08">
            <w:pPr>
              <w:jc w:val="both"/>
              <w:rPr>
                <w:rFonts w:cs="Arial"/>
              </w:rPr>
            </w:pPr>
          </w:p>
        </w:tc>
        <w:tc>
          <w:tcPr>
            <w:tcW w:w="8363" w:type="dxa"/>
            <w:gridSpan w:val="6"/>
          </w:tcPr>
          <w:p w:rsidR="00D70471" w:rsidRDefault="00D70471" w:rsidP="00D70471">
            <w:r w:rsidRPr="00FD4A41">
              <w:t>Bei der Produktion des Zellstoffs müssen bei dessen Bleichverfahren folgende Anforderungen erfüllt werden:</w:t>
            </w:r>
          </w:p>
          <w:p w:rsidR="00D70471" w:rsidRPr="00FD4A41" w:rsidRDefault="00D70471" w:rsidP="00D70471">
            <w:pPr>
              <w:pStyle w:val="AufzhlungPunkt1"/>
            </w:pPr>
            <w:r w:rsidRPr="00FD4A41">
              <w:t>Der Zellstoff darf nicht unter Verwendung von elementarem Chlor gebleicht werden.</w:t>
            </w:r>
          </w:p>
          <w:p w:rsidR="00D70471" w:rsidRPr="00FD4A41" w:rsidRDefault="00D70471" w:rsidP="00D70471">
            <w:pPr>
              <w:pStyle w:val="AufzhlungPunkt1"/>
            </w:pPr>
            <w:r w:rsidRPr="00FD4A41">
              <w:t xml:space="preserve">Die spezifische Verbrauchsmenge an biologisch schwer abbaubaren Komplexbildnern (Ethylendiamintetraacetat (EDTA) und Diethylentriaminpentacetat (DTPA) muss als Jahresmittelwert in Kilogramm pro Tonne lufttrocken angegeben werden. </w:t>
            </w:r>
          </w:p>
          <w:p w:rsidR="00E528C1" w:rsidRPr="00D70471" w:rsidRDefault="00D70471" w:rsidP="001E0D08">
            <w:pPr>
              <w:pStyle w:val="AufzhlungPunkt1"/>
            </w:pPr>
            <w:r w:rsidRPr="00FD4A41">
              <w:t>Als Bleichprozess ist das Verfahren einer total-chlorfreien Bleiche (TCF - total chlorine free) zu bevorzugen, eine elementarchlorfreie Bleiche (ECF – elemental chlorine free) ist jedoch zulässig. In diesem Fall muss die spezifische Verbrauchsmenge an Bleichmittel als Jahresmittelwert in Kilogramm ClO</w:t>
            </w:r>
            <w:r w:rsidRPr="00FD4A41">
              <w:rPr>
                <w:rStyle w:val="Tiefgestellt"/>
              </w:rPr>
              <w:t>2</w:t>
            </w:r>
            <w:r w:rsidRPr="00FD4A41">
              <w:t xml:space="preserve"> pro Tonne lufttrocken angegeben werden. Die adsorbierbaren organisch gebundenen Halogene (AOX) müssen im Abwasser gemessen werden. Der Jahresmittelwert der gemessenen AOX-Emissionen im Abwasser darf einen Wert von 0,12 Kilogramm AOX pro Tonne lufttrocken nicht übersteigen.</w:t>
            </w:r>
          </w:p>
        </w:tc>
      </w:tr>
      <w:tr w:rsidR="00E528C1" w:rsidTr="00407A44">
        <w:tc>
          <w:tcPr>
            <w:tcW w:w="1413" w:type="dxa"/>
            <w:shd w:val="clear" w:color="auto" w:fill="F2F2F2" w:themeFill="background1" w:themeFillShade="F2"/>
          </w:tcPr>
          <w:p w:rsidR="00E528C1" w:rsidRPr="00407A44" w:rsidRDefault="00407A44" w:rsidP="001E0D08">
            <w:pPr>
              <w:jc w:val="both"/>
              <w:rPr>
                <w:rFonts w:cs="Arial"/>
                <w:b/>
              </w:rPr>
            </w:pPr>
            <w:r w:rsidRPr="00407A44">
              <w:rPr>
                <w:rFonts w:cs="Arial"/>
                <w:b/>
              </w:rPr>
              <w:t>3.3.5</w:t>
            </w:r>
          </w:p>
        </w:tc>
        <w:tc>
          <w:tcPr>
            <w:tcW w:w="8363" w:type="dxa"/>
            <w:gridSpan w:val="6"/>
            <w:shd w:val="clear" w:color="auto" w:fill="F2F2F2" w:themeFill="background1" w:themeFillShade="F2"/>
          </w:tcPr>
          <w:p w:rsidR="00E528C1" w:rsidRPr="00407A44" w:rsidRDefault="00407A44" w:rsidP="001E0D08">
            <w:pPr>
              <w:jc w:val="both"/>
              <w:rPr>
                <w:rFonts w:cs="Arial"/>
                <w:b/>
              </w:rPr>
            </w:pPr>
            <w:r w:rsidRPr="00407A44">
              <w:rPr>
                <w:rFonts w:cs="Arial"/>
                <w:b/>
              </w:rPr>
              <w:t>Energieverbrauch bei der Zellstoffherstellung</w:t>
            </w:r>
          </w:p>
        </w:tc>
      </w:tr>
      <w:tr w:rsidR="00E528C1" w:rsidTr="00D13A96">
        <w:tc>
          <w:tcPr>
            <w:tcW w:w="1413" w:type="dxa"/>
          </w:tcPr>
          <w:p w:rsidR="00E528C1" w:rsidRDefault="00E528C1" w:rsidP="001E0D08">
            <w:pPr>
              <w:jc w:val="both"/>
              <w:rPr>
                <w:rFonts w:cs="Arial"/>
              </w:rPr>
            </w:pPr>
          </w:p>
        </w:tc>
        <w:tc>
          <w:tcPr>
            <w:tcW w:w="8363" w:type="dxa"/>
            <w:gridSpan w:val="6"/>
          </w:tcPr>
          <w:p w:rsidR="00407A44" w:rsidRDefault="00407A44" w:rsidP="00407A44">
            <w:bookmarkStart w:id="7" w:name="_Hlk98408042"/>
            <w:r w:rsidRPr="00216E4E">
              <w:t>Der spezifische Energieverbrauch bei der Zellstoffherstellung darf folgende Grenzwerte nicht übersteigen:</w:t>
            </w:r>
          </w:p>
          <w:p w:rsidR="00407A44" w:rsidRPr="00216E4E" w:rsidRDefault="00407A44" w:rsidP="00407A44">
            <w:pPr>
              <w:pStyle w:val="AufzhlungPunkt1"/>
            </w:pPr>
            <w:r w:rsidRPr="00216E4E">
              <w:t>Elektrische Energie: ≤1.125 kWh/Tonne lufttrocken</w:t>
            </w:r>
          </w:p>
          <w:p w:rsidR="00407A44" w:rsidRDefault="00407A44" w:rsidP="00407A44">
            <w:pPr>
              <w:pStyle w:val="AufzhlungPunkt1"/>
            </w:pPr>
            <w:r w:rsidRPr="00216E4E">
              <w:t>Wärmeenergie: ≤7.500 kWh/Tonne lufttrocken</w:t>
            </w:r>
          </w:p>
          <w:bookmarkEnd w:id="7"/>
          <w:p w:rsidR="00407A44" w:rsidRDefault="00407A44" w:rsidP="00407A44">
            <w:pPr>
              <w:pStyle w:val="AufzhlungPunkt1"/>
              <w:numPr>
                <w:ilvl w:val="0"/>
                <w:numId w:val="0"/>
              </w:numPr>
              <w:ind w:left="426" w:hanging="426"/>
            </w:pPr>
          </w:p>
          <w:p w:rsidR="00407A44" w:rsidRDefault="00407A44" w:rsidP="00407A44">
            <w:pPr>
              <w:pStyle w:val="AufzhlungBuchstabe"/>
            </w:pPr>
            <w:r w:rsidRPr="00216E4E">
              <w:t>Elektrische Energie (Strom):</w:t>
            </w:r>
          </w:p>
          <w:p w:rsidR="00407A44" w:rsidRDefault="00407A44" w:rsidP="00407A44">
            <w:r w:rsidRPr="00216E4E">
              <w:t>Der Verbrauch an elektrischer Energie zur Zellstoffproduktion muss über einen Zeitraum von 12 Monaten ermittelt und auf die Zellstoffproduktion (Tonnen lufttrocken) in diesem Zeitraum bezogen werden.</w:t>
            </w:r>
          </w:p>
          <w:p w:rsidR="00407A44" w:rsidRPr="00216E4E" w:rsidRDefault="00407A44" w:rsidP="00407A44"/>
          <w:p w:rsidR="00407A44" w:rsidRDefault="00407A44" w:rsidP="00407A44">
            <w:r w:rsidRPr="00216E4E">
              <w:t>Der Stromverbrauch berechnet sich wie folgt:</w:t>
            </w:r>
          </w:p>
          <w:p w:rsidR="00407A44" w:rsidRPr="00216E4E" w:rsidRDefault="00407A44" w:rsidP="00407A44"/>
          <w:p w:rsidR="00407A44" w:rsidRPr="00216E4E" w:rsidRDefault="00407A44" w:rsidP="00407A44">
            <w:r w:rsidRPr="00216E4E">
              <w:t xml:space="preserve">Stromverbrauch = auf dem Werksgelände erzeugter Strom </w:t>
            </w:r>
          </w:p>
          <w:p w:rsidR="00407A44" w:rsidRPr="00216E4E" w:rsidRDefault="00407A44" w:rsidP="00407A44">
            <w:pPr>
              <w:pStyle w:val="Standardeingercktum0"/>
            </w:pPr>
            <w:r w:rsidRPr="00216E4E">
              <w:t>zuzüglich über die Werksgrenzen hinweg bezogener Strom</w:t>
            </w:r>
          </w:p>
          <w:p w:rsidR="00407A44" w:rsidRPr="00216E4E" w:rsidRDefault="00407A44" w:rsidP="00407A44">
            <w:pPr>
              <w:pStyle w:val="Standardeingercktum0"/>
            </w:pPr>
            <w:r w:rsidRPr="00216E4E">
              <w:t>abzüglich über die Werksgrenzen hinweg verkaufter Strom</w:t>
            </w:r>
          </w:p>
          <w:p w:rsidR="00407A44" w:rsidRPr="00216E4E" w:rsidRDefault="00407A44" w:rsidP="00407A44">
            <w:pPr>
              <w:pStyle w:val="Standardeingercktum0"/>
            </w:pPr>
            <w:r w:rsidRPr="00216E4E">
              <w:t xml:space="preserve">abzüglich Stromverbrauchs der Kläranlage </w:t>
            </w:r>
          </w:p>
          <w:p w:rsidR="00407A44" w:rsidRDefault="00407A44" w:rsidP="00407A44">
            <w:pPr>
              <w:pStyle w:val="Standardeingercktum0"/>
            </w:pPr>
            <w:r w:rsidRPr="00216E4E">
              <w:t>abzüglich Stromverbrauchs für Nicht-Zellstoffproduktions-Prozesse auf dem Werksgelände</w:t>
            </w:r>
          </w:p>
          <w:p w:rsidR="00407A44" w:rsidRDefault="00407A44" w:rsidP="00407A44">
            <w:pPr>
              <w:pStyle w:val="Standardeingercktum0"/>
              <w:ind w:left="0"/>
            </w:pPr>
          </w:p>
          <w:p w:rsidR="00407A44" w:rsidRDefault="00407A44" w:rsidP="00407A44">
            <w:pPr>
              <w:pStyle w:val="AufzhlungBuchstabe"/>
            </w:pPr>
            <w:r w:rsidRPr="00E73B07">
              <w:t>Wärmeenergie (Brennstoffe):</w:t>
            </w:r>
          </w:p>
          <w:p w:rsidR="00407A44" w:rsidRDefault="00407A44" w:rsidP="00407A44">
            <w:r w:rsidRPr="00E73B07">
              <w:t xml:space="preserve">Der Verbrauch an Wärmeenergie zur Zellstoffproduktion muss über einen Zeitraum von 12 Monaten ermittelt und auf die Zellstoffproduktion (Tonnen lufttrocken) in diesem Zeitraum bezogen werden. Wärmeenergie kann in Form von gasförmigen, flüssigen oder festen Brennstoffen (z.B. Erdgas, Heizöl, Biomasse) vorliegen oder in Form von Wärmeträgermedien (z.B. Wasser, Wasserdampf). Als Energieinhalt von Brennstoffen wird der Heizwert (Hu - unterer Heizwert) der jeweiligen Energieträger angesetzt. Bei feuchten Energieträgern (z.B. Holz, </w:t>
            </w:r>
            <w:r w:rsidRPr="00E73B07">
              <w:lastRenderedPageBreak/>
              <w:t>Biomasse) wird der effektive Energieinhalt (nach Abzug der Verdampfungsenergie des enthaltenen Wassers) angesetzt, bei Wärmeträgermedien deren nutzbarer Energieinhalt.</w:t>
            </w:r>
          </w:p>
          <w:p w:rsidR="00407A44" w:rsidRDefault="00407A44" w:rsidP="00407A44"/>
          <w:p w:rsidR="00407A44" w:rsidRDefault="00407A44" w:rsidP="00407A44">
            <w:r w:rsidRPr="00E73B07">
              <w:t>Der Verbrauch an Wärmeenergie berechnet sich wie folgt:</w:t>
            </w:r>
          </w:p>
          <w:p w:rsidR="00407A44" w:rsidRPr="00E73B07" w:rsidRDefault="00407A44" w:rsidP="00407A44"/>
          <w:p w:rsidR="00407A44" w:rsidRPr="00E73B07" w:rsidRDefault="00407A44" w:rsidP="00407A44">
            <w:r w:rsidRPr="00E73B07">
              <w:t>Wärmeenergieverbrauch = auf dem Werksgelände erzeugter Brennstoff</w:t>
            </w:r>
          </w:p>
          <w:p w:rsidR="00407A44" w:rsidRPr="00E73B07" w:rsidRDefault="00407A44" w:rsidP="00407A44">
            <w:pPr>
              <w:pStyle w:val="Standardeingercktum0"/>
            </w:pPr>
            <w:r w:rsidRPr="00E73B07">
              <w:t xml:space="preserve">zuzüglich bezogener Wärmeenergie oder Brennstoff </w:t>
            </w:r>
          </w:p>
          <w:p w:rsidR="00407A44" w:rsidRPr="00E73B07" w:rsidRDefault="00407A44" w:rsidP="00407A44">
            <w:pPr>
              <w:pStyle w:val="Standardeingercktum0"/>
            </w:pPr>
            <w:r w:rsidRPr="00E73B07">
              <w:t>abzüglich verkaufter Wärmeenergie oder Brennstoff</w:t>
            </w:r>
          </w:p>
          <w:p w:rsidR="00407A44" w:rsidRPr="00E73B07" w:rsidRDefault="00407A44" w:rsidP="00407A44">
            <w:pPr>
              <w:pStyle w:val="Standardeingercktum0"/>
            </w:pPr>
            <w:r w:rsidRPr="00E73B07">
              <w:t xml:space="preserve">abzüglich 1,25 × auf dem Werksgelände erzeugte Elektrizität </w:t>
            </w:r>
          </w:p>
          <w:p w:rsidR="00407A44" w:rsidRDefault="00407A44" w:rsidP="00407A44">
            <w:pPr>
              <w:pStyle w:val="Standardeingercktum0"/>
            </w:pPr>
            <w:r w:rsidRPr="00E73B07">
              <w:t>abzüglich Wärmeverbrauch für Nicht-Zellstoffproduktions-Prozesse auf dem Werksgelände</w:t>
            </w:r>
          </w:p>
          <w:p w:rsidR="00407A44" w:rsidRDefault="00407A44" w:rsidP="00407A44">
            <w:pPr>
              <w:spacing w:line="276" w:lineRule="auto"/>
            </w:pPr>
            <w:r>
              <w:br w:type="page"/>
            </w:r>
          </w:p>
          <w:p w:rsidR="00407A44" w:rsidRPr="000807D8" w:rsidRDefault="00407A44" w:rsidP="00407A44">
            <w:pPr>
              <w:pStyle w:val="Standardeingercktum0"/>
              <w:ind w:left="0"/>
              <w:rPr>
                <w:rStyle w:val="StandardfettnurWort"/>
              </w:rPr>
            </w:pPr>
            <w:r w:rsidRPr="000807D8">
              <w:rPr>
                <w:rStyle w:val="StandardfettnurWort"/>
              </w:rPr>
              <w:t>Hinweis:</w:t>
            </w:r>
          </w:p>
          <w:p w:rsidR="00E528C1" w:rsidRPr="00407A44" w:rsidRDefault="00407A44" w:rsidP="00407A44">
            <w:r w:rsidRPr="0045270A">
              <w:t>Die Wärmeenergie beinhaltet sämtliche bezogenen Brennstoffe (deren Heizwerte, engl.: lower heat value) sowie Wärmeenergie, die durch die Verbrennung von Ablaugen und Abfällen am Produktionsstandort zurückgewonnen wurde (z. B. Holzabfälle, Sägemehl, Ablauge, Altpapier, Ausschusspapier), sowie die aus der eigenen Stromerzeugung zurückgewonnene Wärme. Der Antragsteller muss die Berechnung des Energieverbrauchs für die Zellstoffherstellung anhand einer Energiebilanz zusammen mit den verwendeten Berechnungsparametern darstellen. Liegen keine eigenen Heizwerte für die eingesetzten Brennstoffe vor, können die beim Nordischen Umweltzeichen für Papierprodukte</w:t>
            </w:r>
            <w:r w:rsidRPr="0045270A">
              <w:rPr>
                <w:rStyle w:val="Funotenzeichen"/>
              </w:rPr>
              <w:footnoteReference w:id="3"/>
            </w:r>
            <w:r w:rsidRPr="0045270A">
              <w:t xml:space="preserve"> dokumentierten Heizwerte verwendet werden.</w:t>
            </w:r>
          </w:p>
        </w:tc>
      </w:tr>
      <w:tr w:rsidR="00E528C1" w:rsidTr="005D7945">
        <w:tc>
          <w:tcPr>
            <w:tcW w:w="1413" w:type="dxa"/>
            <w:shd w:val="clear" w:color="auto" w:fill="F2F2F2" w:themeFill="background1" w:themeFillShade="F2"/>
          </w:tcPr>
          <w:p w:rsidR="00E528C1" w:rsidRPr="00C0608D" w:rsidRDefault="005D7945" w:rsidP="001E0D08">
            <w:pPr>
              <w:jc w:val="both"/>
              <w:rPr>
                <w:rFonts w:cs="Arial"/>
                <w:b/>
              </w:rPr>
            </w:pPr>
            <w:r w:rsidRPr="00C0608D">
              <w:rPr>
                <w:rFonts w:cs="Arial"/>
                <w:b/>
              </w:rPr>
              <w:lastRenderedPageBreak/>
              <w:t>3.4.1</w:t>
            </w:r>
          </w:p>
        </w:tc>
        <w:tc>
          <w:tcPr>
            <w:tcW w:w="8363" w:type="dxa"/>
            <w:gridSpan w:val="6"/>
            <w:shd w:val="clear" w:color="auto" w:fill="F2F2F2" w:themeFill="background1" w:themeFillShade="F2"/>
          </w:tcPr>
          <w:p w:rsidR="00E528C1" w:rsidRPr="005D7945" w:rsidRDefault="005D7945" w:rsidP="001E0D08">
            <w:pPr>
              <w:jc w:val="both"/>
              <w:rPr>
                <w:rFonts w:cs="Arial"/>
                <w:b/>
              </w:rPr>
            </w:pPr>
            <w:r w:rsidRPr="005D7945">
              <w:rPr>
                <w:rFonts w:cs="Arial"/>
                <w:b/>
              </w:rPr>
              <w:t>Direkteinleitung</w:t>
            </w:r>
          </w:p>
        </w:tc>
      </w:tr>
      <w:tr w:rsidR="00E528C1" w:rsidTr="00D13A96">
        <w:tc>
          <w:tcPr>
            <w:tcW w:w="1413" w:type="dxa"/>
          </w:tcPr>
          <w:p w:rsidR="00E528C1" w:rsidRDefault="00E528C1" w:rsidP="001E0D08">
            <w:pPr>
              <w:jc w:val="both"/>
              <w:rPr>
                <w:rFonts w:cs="Arial"/>
              </w:rPr>
            </w:pPr>
          </w:p>
        </w:tc>
        <w:tc>
          <w:tcPr>
            <w:tcW w:w="8363" w:type="dxa"/>
            <w:gridSpan w:val="6"/>
          </w:tcPr>
          <w:p w:rsidR="005D7945" w:rsidRDefault="005D7945" w:rsidP="005D7945">
            <w:r w:rsidRPr="00AD575F">
              <w:t xml:space="preserve">Bei der Herstellung von Thermopapier müssen von Direkteinleitern die Emissionswerte für die Abwasserbelastung eingehalten werden, die von der EU-Kommission im "Referenzdokument über die Besten Verfügbaren Techniken in der Zellstoff- und Papierindustrie PP BREF" beschrieben und für Deutschland in den Anhang 28 der Abwasserverordnung umgesetzt worden sind. Die in Tabelle 1 aufgelisteten Werte gehen zum Teil über die genannten gesetzlichen Anforderungen hinaus mit dem Ziel, mit dem Umweltzeichen nur besonders umweltfreundlich hergestellte Papiere zu kennzeichnen. </w:t>
            </w:r>
            <w:r>
              <w:t xml:space="preserve">Daher </w:t>
            </w:r>
            <w:r w:rsidRPr="00AD575F">
              <w:t xml:space="preserve">müssen von </w:t>
            </w:r>
            <w:r w:rsidRPr="008E7344">
              <w:rPr>
                <w:rStyle w:val="StandardfettnurWort"/>
              </w:rPr>
              <w:t>Direkteinleitern</w:t>
            </w:r>
            <w:r w:rsidRPr="008E7344">
              <w:t xml:space="preserve"> </w:t>
            </w:r>
            <w:r w:rsidRPr="00AD575F">
              <w:t>die Emissionswerte für die Wasserbelastung eingehalten werden, die von der EU-Kommission im "Referenzdokument über die Besten Verfügbaren Techniken in der Zellstoff- und Papierindustrie" beschrieben sind und die in der nachfolgenden Tabelle 1 aufgelistet sind:</w:t>
            </w:r>
          </w:p>
          <w:p w:rsidR="005D7945" w:rsidRDefault="005D7945" w:rsidP="005D7945"/>
          <w:p w:rsidR="005D7945" w:rsidRDefault="005D7945" w:rsidP="005D7945">
            <w:pPr>
              <w:pStyle w:val="Standardklein"/>
            </w:pPr>
            <w:r>
              <w:t xml:space="preserve">Tabelle </w:t>
            </w:r>
            <w:r w:rsidR="00A81EBE">
              <w:fldChar w:fldCharType="begin"/>
            </w:r>
            <w:r w:rsidR="00A81EBE">
              <w:instrText xml:space="preserve"> SEQ Tabelle \* ARABIC </w:instrText>
            </w:r>
            <w:r w:rsidR="00A81EBE">
              <w:fldChar w:fldCharType="separate"/>
            </w:r>
            <w:r>
              <w:rPr>
                <w:noProof/>
              </w:rPr>
              <w:t>1</w:t>
            </w:r>
            <w:r w:rsidR="00A81EBE">
              <w:rPr>
                <w:noProof/>
              </w:rPr>
              <w:fldChar w:fldCharType="end"/>
            </w:r>
            <w:r>
              <w:t xml:space="preserve">: </w:t>
            </w:r>
            <w:r w:rsidRPr="005202D8">
              <w:t>Zulässige Höchstwerte für Emissionsparameter (Abwasser) bei der Papierherstellung</w:t>
            </w:r>
            <w:r>
              <w:t xml:space="preserve"> </w:t>
            </w:r>
            <w:r w:rsidRPr="005202D8">
              <w:t>als Jahresmittelwerte</w:t>
            </w:r>
          </w:p>
          <w:tbl>
            <w:tblPr>
              <w:tblStyle w:val="TabellefrVergabegrundlageKopfzeilegrau"/>
              <w:tblW w:w="0" w:type="auto"/>
              <w:tblLook w:val="04A0" w:firstRow="1" w:lastRow="0" w:firstColumn="1" w:lastColumn="0" w:noHBand="0" w:noVBand="1"/>
            </w:tblPr>
            <w:tblGrid>
              <w:gridCol w:w="4036"/>
              <w:gridCol w:w="4101"/>
            </w:tblGrid>
            <w:tr w:rsidR="005D7945" w:rsidTr="000705AE">
              <w:trPr>
                <w:cnfStyle w:val="100000000000" w:firstRow="1" w:lastRow="0" w:firstColumn="0" w:lastColumn="0" w:oddVBand="0" w:evenVBand="0" w:oddHBand="0" w:evenHBand="0" w:firstRowFirstColumn="0" w:firstRowLastColumn="0" w:lastRowFirstColumn="0" w:lastRowLastColumn="0"/>
              </w:trPr>
              <w:tc>
                <w:tcPr>
                  <w:tcW w:w="4814" w:type="dxa"/>
                </w:tcPr>
                <w:p w:rsidR="005D7945" w:rsidRPr="005202D8" w:rsidRDefault="005D7945" w:rsidP="005D7945">
                  <w:pPr>
                    <w:pStyle w:val="Tabellentextfettkleinlinksbndig"/>
                  </w:pPr>
                  <w:r w:rsidRPr="005202D8">
                    <w:t>Parameter</w:t>
                  </w:r>
                </w:p>
              </w:tc>
              <w:tc>
                <w:tcPr>
                  <w:tcW w:w="4814" w:type="dxa"/>
                </w:tcPr>
                <w:p w:rsidR="005D7945" w:rsidRPr="005202D8" w:rsidRDefault="005D7945" w:rsidP="005D7945">
                  <w:pPr>
                    <w:pStyle w:val="Tabellentextfettkleinlinksbndig"/>
                  </w:pPr>
                  <w:r w:rsidRPr="005202D8">
                    <w:t>Höchstwert für Abwasseremissionen (Jahresmittelwert als Fracht oder Konzentration)</w:t>
                  </w:r>
                  <w:r w:rsidRPr="005202D8">
                    <w:rPr>
                      <w:rStyle w:val="Funotenzeichen"/>
                    </w:rPr>
                    <w:footnoteReference w:id="4"/>
                  </w:r>
                </w:p>
              </w:tc>
            </w:tr>
            <w:tr w:rsidR="005D7945" w:rsidTr="000705AE">
              <w:tc>
                <w:tcPr>
                  <w:tcW w:w="4814" w:type="dxa"/>
                </w:tcPr>
                <w:p w:rsidR="005D7945" w:rsidRPr="005202D8" w:rsidRDefault="005D7945" w:rsidP="005D7945">
                  <w:pPr>
                    <w:pStyle w:val="Tabellentextstandardkleinlinksbndig"/>
                  </w:pPr>
                  <w:r w:rsidRPr="00E32A28">
                    <w:t>Abwasser-Volumenstrom</w:t>
                  </w:r>
                </w:p>
              </w:tc>
              <w:tc>
                <w:tcPr>
                  <w:tcW w:w="4814" w:type="dxa"/>
                </w:tcPr>
                <w:p w:rsidR="005D7945" w:rsidRPr="005202D8" w:rsidRDefault="005D7945" w:rsidP="005D7945">
                  <w:pPr>
                    <w:pStyle w:val="Tabellentextstandardkleinlinksbndig"/>
                  </w:pPr>
                  <w:r w:rsidRPr="00E32A28">
                    <w:t>15 m</w:t>
                  </w:r>
                  <w:r w:rsidRPr="005202D8">
                    <w:rPr>
                      <w:rStyle w:val="Hochgestellt"/>
                    </w:rPr>
                    <w:t>3</w:t>
                  </w:r>
                  <w:r w:rsidRPr="005202D8">
                    <w:t>/Adt</w:t>
                  </w:r>
                </w:p>
              </w:tc>
            </w:tr>
            <w:tr w:rsidR="005D7945" w:rsidTr="000705AE">
              <w:tc>
                <w:tcPr>
                  <w:tcW w:w="4814" w:type="dxa"/>
                </w:tcPr>
                <w:p w:rsidR="005D7945" w:rsidRPr="005202D8" w:rsidRDefault="005D7945" w:rsidP="005D7945">
                  <w:pPr>
                    <w:pStyle w:val="Tabellentextstandardkleinlinksbndig"/>
                  </w:pPr>
                  <w:r w:rsidRPr="00E32A28">
                    <w:t>CSB</w:t>
                  </w:r>
                </w:p>
              </w:tc>
              <w:tc>
                <w:tcPr>
                  <w:tcW w:w="4814" w:type="dxa"/>
                </w:tcPr>
                <w:p w:rsidR="005D7945" w:rsidRPr="005202D8" w:rsidRDefault="005D7945" w:rsidP="005D7945">
                  <w:pPr>
                    <w:pStyle w:val="Tabellentextstandardkleinlinksbndig"/>
                  </w:pPr>
                  <w:r w:rsidRPr="00E32A28">
                    <w:t>3 kg/Adt</w:t>
                  </w:r>
                </w:p>
              </w:tc>
            </w:tr>
            <w:tr w:rsidR="005D7945" w:rsidTr="000705AE">
              <w:tc>
                <w:tcPr>
                  <w:tcW w:w="4814" w:type="dxa"/>
                </w:tcPr>
                <w:p w:rsidR="005D7945" w:rsidRPr="005202D8" w:rsidRDefault="005D7945" w:rsidP="005D7945">
                  <w:pPr>
                    <w:pStyle w:val="Tabellentextstandardkleinlinksbndig"/>
                  </w:pPr>
                  <w:r w:rsidRPr="00E32A28">
                    <w:t>BSB5</w:t>
                  </w:r>
                </w:p>
              </w:tc>
              <w:tc>
                <w:tcPr>
                  <w:tcW w:w="4814" w:type="dxa"/>
                </w:tcPr>
                <w:p w:rsidR="005D7945" w:rsidRPr="005202D8" w:rsidRDefault="005D7945" w:rsidP="005D7945">
                  <w:pPr>
                    <w:pStyle w:val="Tabellentextstandardkleinlinksbndig"/>
                  </w:pPr>
                  <w:r w:rsidRPr="00E32A28">
                    <w:t>0,15 kg/Adt oder 25 mg/l</w:t>
                  </w:r>
                </w:p>
              </w:tc>
            </w:tr>
            <w:tr w:rsidR="005D7945" w:rsidTr="000705AE">
              <w:tc>
                <w:tcPr>
                  <w:tcW w:w="4814" w:type="dxa"/>
                </w:tcPr>
                <w:p w:rsidR="005D7945" w:rsidRPr="005202D8" w:rsidRDefault="005D7945" w:rsidP="005D7945">
                  <w:pPr>
                    <w:pStyle w:val="Tabellentextstandardkleinlinksbndig"/>
                  </w:pPr>
                  <w:r w:rsidRPr="00E32A28">
                    <w:t>Gesamt N (anorganisch + organisch N) (TN</w:t>
                  </w:r>
                  <w:r w:rsidRPr="005202D8">
                    <w:rPr>
                      <w:rStyle w:val="Tiefgestellt"/>
                    </w:rPr>
                    <w:t>b</w:t>
                  </w:r>
                  <w:r w:rsidRPr="005202D8">
                    <w:t>)</w:t>
                  </w:r>
                </w:p>
              </w:tc>
              <w:tc>
                <w:tcPr>
                  <w:tcW w:w="4814" w:type="dxa"/>
                </w:tcPr>
                <w:p w:rsidR="005D7945" w:rsidRPr="005202D8" w:rsidRDefault="005D7945" w:rsidP="005D7945">
                  <w:pPr>
                    <w:pStyle w:val="Tabellentextstandardkleinlinksbndig"/>
                  </w:pPr>
                  <w:r w:rsidRPr="00E32A28">
                    <w:t>0,07 kg/Adt oder 15 mg/l</w:t>
                  </w:r>
                </w:p>
              </w:tc>
            </w:tr>
            <w:tr w:rsidR="005D7945" w:rsidTr="000705AE">
              <w:tc>
                <w:tcPr>
                  <w:tcW w:w="4814" w:type="dxa"/>
                </w:tcPr>
                <w:p w:rsidR="005D7945" w:rsidRPr="005202D8" w:rsidRDefault="005D7945" w:rsidP="005D7945">
                  <w:pPr>
                    <w:pStyle w:val="Tabellentextstandardkleinlinksbndig"/>
                  </w:pPr>
                  <w:r w:rsidRPr="00E32A28">
                    <w:lastRenderedPageBreak/>
                    <w:t>Gesamt-P</w:t>
                  </w:r>
                </w:p>
              </w:tc>
              <w:tc>
                <w:tcPr>
                  <w:tcW w:w="4814" w:type="dxa"/>
                </w:tcPr>
                <w:p w:rsidR="005D7945" w:rsidRPr="005202D8" w:rsidRDefault="005D7945" w:rsidP="005D7945">
                  <w:pPr>
                    <w:pStyle w:val="Tabellentextstandardkleinlinksbndig"/>
                  </w:pPr>
                  <w:r w:rsidRPr="00E32A28">
                    <w:t>0,008 kg/Adt oder 1,2 mg/l</w:t>
                  </w:r>
                </w:p>
              </w:tc>
            </w:tr>
          </w:tbl>
          <w:p w:rsidR="005D7945" w:rsidRDefault="005D7945" w:rsidP="005D7945"/>
          <w:p w:rsidR="005D7945" w:rsidRPr="005202D8" w:rsidRDefault="005D7945" w:rsidP="005D7945">
            <w:r w:rsidRPr="00E32A28">
              <w:t>Adt = Tonne luftgetrocknetes Papier (Air dried ton)</w:t>
            </w:r>
          </w:p>
          <w:p w:rsidR="00E528C1" w:rsidRPr="005D7945" w:rsidRDefault="005D7945" w:rsidP="005D7945">
            <w:r w:rsidRPr="005202D8">
              <w:t>TNb = Gesamter gebundener Stickstoff oder engl. total nitrogen bound ist ein Summen-parameter</w:t>
            </w:r>
            <w:r w:rsidRPr="00E32A28">
              <w:t>,</w:t>
            </w:r>
            <w:r w:rsidRPr="005202D8">
              <w:t xml:space="preserve"> </w:t>
            </w:r>
            <w:r w:rsidRPr="00E32A28">
              <w:t>der</w:t>
            </w:r>
            <w:r w:rsidRPr="005202D8">
              <w:t xml:space="preserve"> </w:t>
            </w:r>
            <w:r w:rsidRPr="00E32A28">
              <w:t>die</w:t>
            </w:r>
            <w:r w:rsidRPr="005202D8">
              <w:t xml:space="preserve"> </w:t>
            </w:r>
            <w:r w:rsidRPr="00E32A28">
              <w:t>Gesamtbelastung</w:t>
            </w:r>
            <w:r w:rsidRPr="005202D8">
              <w:t xml:space="preserve"> </w:t>
            </w:r>
            <w:r w:rsidRPr="00E32A28">
              <w:t>des</w:t>
            </w:r>
            <w:r w:rsidRPr="005202D8">
              <w:t xml:space="preserve"> </w:t>
            </w:r>
            <w:r w:rsidRPr="00E32A28">
              <w:t>Wassers</w:t>
            </w:r>
            <w:r w:rsidRPr="005202D8">
              <w:t xml:space="preserve"> </w:t>
            </w:r>
            <w:r w:rsidRPr="00E32A28">
              <w:t>mit</w:t>
            </w:r>
            <w:r w:rsidRPr="005202D8">
              <w:t xml:space="preserve"> </w:t>
            </w:r>
            <w:r w:rsidRPr="00E32A28">
              <w:t>Stickstoffverbindungen</w:t>
            </w:r>
            <w:r w:rsidRPr="005202D8">
              <w:t xml:space="preserve"> </w:t>
            </w:r>
            <w:r w:rsidRPr="00E32A28">
              <w:t>widerspiegelt,</w:t>
            </w:r>
            <w:r w:rsidRPr="005202D8">
              <w:t xml:space="preserve"> </w:t>
            </w:r>
            <w:r w:rsidRPr="005202D8">
              <w:br/>
            </w:r>
            <w:r w:rsidRPr="00E32A28">
              <w:t>die darin zum Beispiel in Form von Ammonium, Nitriten oder Nitraten oder organischen Stickstoffverbindungen vorkommen können. Eine geeignete Methode zur Bestimmung dieses</w:t>
            </w:r>
            <w:r w:rsidRPr="005202D8">
              <w:t xml:space="preserve"> </w:t>
            </w:r>
            <w:r w:rsidRPr="00E32A28">
              <w:t>Parameters ist die DIN EN</w:t>
            </w:r>
            <w:r w:rsidRPr="005202D8">
              <w:t xml:space="preserve"> </w:t>
            </w:r>
            <w:r w:rsidRPr="00E32A28">
              <w:t>12260.</w:t>
            </w:r>
          </w:p>
        </w:tc>
      </w:tr>
      <w:tr w:rsidR="005D7945" w:rsidTr="001F3434">
        <w:tc>
          <w:tcPr>
            <w:tcW w:w="1413" w:type="dxa"/>
            <w:shd w:val="clear" w:color="auto" w:fill="F2F2F2" w:themeFill="background1" w:themeFillShade="F2"/>
          </w:tcPr>
          <w:p w:rsidR="005D7945" w:rsidRPr="001F3434" w:rsidRDefault="009C0080" w:rsidP="001E0D08">
            <w:pPr>
              <w:jc w:val="both"/>
              <w:rPr>
                <w:rFonts w:cs="Arial"/>
                <w:b/>
              </w:rPr>
            </w:pPr>
            <w:r w:rsidRPr="001F3434">
              <w:rPr>
                <w:rFonts w:cs="Arial"/>
                <w:b/>
              </w:rPr>
              <w:lastRenderedPageBreak/>
              <w:t>3.4.2</w:t>
            </w:r>
          </w:p>
        </w:tc>
        <w:tc>
          <w:tcPr>
            <w:tcW w:w="8363" w:type="dxa"/>
            <w:gridSpan w:val="6"/>
            <w:shd w:val="clear" w:color="auto" w:fill="F2F2F2" w:themeFill="background1" w:themeFillShade="F2"/>
          </w:tcPr>
          <w:p w:rsidR="005D7945" w:rsidRPr="001F3434" w:rsidRDefault="009C0080" w:rsidP="005D7945">
            <w:pPr>
              <w:rPr>
                <w:b/>
              </w:rPr>
            </w:pPr>
            <w:r w:rsidRPr="001F3434">
              <w:rPr>
                <w:b/>
              </w:rPr>
              <w:t>Indirekteinleitung</w:t>
            </w:r>
          </w:p>
        </w:tc>
      </w:tr>
      <w:tr w:rsidR="005D7945" w:rsidTr="00D13A96">
        <w:tc>
          <w:tcPr>
            <w:tcW w:w="1413" w:type="dxa"/>
          </w:tcPr>
          <w:p w:rsidR="005D7945" w:rsidRDefault="005D7945" w:rsidP="001E0D08">
            <w:pPr>
              <w:jc w:val="both"/>
              <w:rPr>
                <w:rFonts w:cs="Arial"/>
              </w:rPr>
            </w:pPr>
          </w:p>
        </w:tc>
        <w:tc>
          <w:tcPr>
            <w:tcW w:w="8363" w:type="dxa"/>
            <w:gridSpan w:val="6"/>
          </w:tcPr>
          <w:p w:rsidR="005D7945" w:rsidRPr="00AD575F" w:rsidRDefault="001F3434" w:rsidP="005D7945">
            <w:r w:rsidRPr="00527EA4">
              <w:rPr>
                <w:rStyle w:val="StandardfettnurWort"/>
              </w:rPr>
              <w:t>Indirekteinleiter</w:t>
            </w:r>
            <w:r w:rsidRPr="00527EA4">
              <w:t xml:space="preserve"> </w:t>
            </w:r>
            <w:r w:rsidRPr="00E32A28">
              <w:t xml:space="preserve">müssen die Einhaltung der Emissionswerte für die in </w:t>
            </w:r>
            <w:r w:rsidRPr="00C73938">
              <w:t>Tabelle 1</w:t>
            </w:r>
            <w:r w:rsidRPr="00E32A28">
              <w:t xml:space="preserve"> genannten Parameter nach der Behandlung erklären.</w:t>
            </w:r>
          </w:p>
        </w:tc>
      </w:tr>
      <w:tr w:rsidR="005D7945" w:rsidTr="001F3434">
        <w:tc>
          <w:tcPr>
            <w:tcW w:w="1413" w:type="dxa"/>
            <w:shd w:val="clear" w:color="auto" w:fill="F2F2F2" w:themeFill="background1" w:themeFillShade="F2"/>
          </w:tcPr>
          <w:p w:rsidR="005D7945" w:rsidRPr="001F3434" w:rsidRDefault="001F3434" w:rsidP="001E0D08">
            <w:pPr>
              <w:jc w:val="both"/>
              <w:rPr>
                <w:rFonts w:cs="Arial"/>
                <w:b/>
              </w:rPr>
            </w:pPr>
            <w:r w:rsidRPr="001F3434">
              <w:rPr>
                <w:rFonts w:cs="Arial"/>
                <w:b/>
              </w:rPr>
              <w:t>3.5</w:t>
            </w:r>
          </w:p>
        </w:tc>
        <w:tc>
          <w:tcPr>
            <w:tcW w:w="8363" w:type="dxa"/>
            <w:gridSpan w:val="6"/>
            <w:shd w:val="clear" w:color="auto" w:fill="F2F2F2" w:themeFill="background1" w:themeFillShade="F2"/>
          </w:tcPr>
          <w:p w:rsidR="005D7945" w:rsidRPr="001F3434" w:rsidRDefault="001F3434" w:rsidP="005D7945">
            <w:pPr>
              <w:rPr>
                <w:b/>
              </w:rPr>
            </w:pPr>
            <w:r w:rsidRPr="001F3434">
              <w:rPr>
                <w:b/>
              </w:rPr>
              <w:t>Anforderungen an den Energieverbrauch und die Herkunft des Stroms bei der Papierherstellung</w:t>
            </w:r>
          </w:p>
        </w:tc>
      </w:tr>
      <w:tr w:rsidR="005D7945" w:rsidTr="00D13A96">
        <w:tc>
          <w:tcPr>
            <w:tcW w:w="1413" w:type="dxa"/>
          </w:tcPr>
          <w:p w:rsidR="005D7945" w:rsidRDefault="005D7945" w:rsidP="001E0D08">
            <w:pPr>
              <w:jc w:val="both"/>
              <w:rPr>
                <w:rFonts w:cs="Arial"/>
              </w:rPr>
            </w:pPr>
          </w:p>
        </w:tc>
        <w:tc>
          <w:tcPr>
            <w:tcW w:w="8363" w:type="dxa"/>
            <w:gridSpan w:val="6"/>
          </w:tcPr>
          <w:p w:rsidR="001F3434" w:rsidRDefault="001F3434" w:rsidP="001F3434">
            <w:pPr>
              <w:rPr>
                <w:rStyle w:val="StandardnurWort"/>
              </w:rPr>
            </w:pPr>
            <w:r w:rsidRPr="00065893">
              <w:rPr>
                <w:rStyle w:val="StandardnurWort"/>
              </w:rPr>
              <w:t>Die Papierindustrie gehört zu den energieintensiven Industrien Deutschlands, daher gilt es, den Verbrauch an Wärme und Strom in den Herstellungsbetrieben weiter zu reduzieren und auf umweltverträgliche(re) Energieträger umzustellen.</w:t>
            </w:r>
          </w:p>
          <w:p w:rsidR="001F3434" w:rsidRDefault="001F3434" w:rsidP="001F3434">
            <w:pPr>
              <w:rPr>
                <w:rStyle w:val="StandardnurWort"/>
              </w:rPr>
            </w:pPr>
            <w:r w:rsidRPr="000264C3">
              <w:rPr>
                <w:rStyle w:val="StandardnurWort"/>
              </w:rPr>
              <w:t>Bei der Herstellung von Thermopapier sind folgende Werte für den Strom- bzw. Prozesswärmeverbrauch als Jahresmittelwerte nicht zu überschreiten</w:t>
            </w:r>
            <w:r>
              <w:rPr>
                <w:rStyle w:val="StandardnurWort"/>
              </w:rPr>
              <w:t>:</w:t>
            </w:r>
          </w:p>
          <w:p w:rsidR="001F3434" w:rsidRPr="000264C3" w:rsidRDefault="001F3434" w:rsidP="001F3434">
            <w:pPr>
              <w:pStyle w:val="AufzhlungPunkt1"/>
            </w:pPr>
            <w:r w:rsidRPr="000264C3">
              <w:t>Elektrischer Strom: ≤1.000 kWh/Tonne Papier</w:t>
            </w:r>
          </w:p>
          <w:p w:rsidR="001F3434" w:rsidRDefault="001F3434" w:rsidP="001F3434">
            <w:pPr>
              <w:pStyle w:val="AufzhlungPunkt1"/>
            </w:pPr>
            <w:r w:rsidRPr="000264C3">
              <w:t>Prozesswärme: ≤1.700 kWh/Tonne Papier</w:t>
            </w:r>
          </w:p>
          <w:p w:rsidR="001F3434" w:rsidRDefault="001F3434" w:rsidP="001F3434">
            <w:pPr>
              <w:rPr>
                <w:rStyle w:val="StandardnurWort"/>
              </w:rPr>
            </w:pPr>
            <w:r w:rsidRPr="00183343">
              <w:rPr>
                <w:rStyle w:val="StandardnurWort"/>
              </w:rPr>
              <w:t>Die Werte</w:t>
            </w:r>
            <w:r w:rsidRPr="000264C3">
              <w:rPr>
                <w:rStyle w:val="StandardnurWort"/>
              </w:rPr>
              <w:t xml:space="preserve"> wurden aus der Datenerhebung für das BVT-Merkblatt für die Papier- und Zellstoffindustrie abgeleitet (PP-BREF</w:t>
            </w:r>
            <w:r w:rsidRPr="000264C3">
              <w:rPr>
                <w:rStyle w:val="Funotenzeichen"/>
              </w:rPr>
              <w:footnoteReference w:id="5"/>
            </w:r>
            <w:r w:rsidRPr="000264C3">
              <w:rPr>
                <w:rStyle w:val="StandardnurWort"/>
              </w:rPr>
              <w:t>, hier Abschnitt 7.3.15, Tabelle 7.30, 7.31).</w:t>
            </w:r>
          </w:p>
          <w:p w:rsidR="001F3434" w:rsidRDefault="001F3434" w:rsidP="001F3434">
            <w:pPr>
              <w:rPr>
                <w:rStyle w:val="StandardnurWort"/>
              </w:rPr>
            </w:pPr>
          </w:p>
          <w:p w:rsidR="001F3434" w:rsidRPr="00226C08" w:rsidRDefault="001F3434" w:rsidP="001F3434">
            <w:pPr>
              <w:rPr>
                <w:rStyle w:val="StandardnurWort"/>
              </w:rPr>
            </w:pPr>
            <w:r w:rsidRPr="00CF20D2">
              <w:rPr>
                <w:rStyle w:val="StandardnurWort"/>
              </w:rPr>
              <w:t xml:space="preserve">Die Überschreitung der Summe aus </w:t>
            </w:r>
            <w:r w:rsidRPr="00226C08">
              <w:rPr>
                <w:rStyle w:val="StandardnurWort"/>
              </w:rPr>
              <w:t>Prozesswärme und elektrischer Energie um insgesamt 10% ist zulässig.</w:t>
            </w:r>
          </w:p>
          <w:p w:rsidR="005D7945" w:rsidRPr="00AD575F" w:rsidRDefault="001F3434" w:rsidP="005D7945">
            <w:r w:rsidRPr="001C3D13">
              <w:rPr>
                <w:rStyle w:val="StandardnurWort"/>
              </w:rPr>
              <w:t>Weiterhin nennt der Antragsteller den eingesetzten Energiemix nach Art und Herkunft. Der verbrauchte Strom sollte aus erneuerbaren Energien stammen.</w:t>
            </w:r>
          </w:p>
        </w:tc>
      </w:tr>
      <w:tr w:rsidR="001F3434" w:rsidTr="001E2D25">
        <w:tc>
          <w:tcPr>
            <w:tcW w:w="1413" w:type="dxa"/>
            <w:shd w:val="clear" w:color="auto" w:fill="F2F2F2" w:themeFill="background1" w:themeFillShade="F2"/>
          </w:tcPr>
          <w:p w:rsidR="001F3434" w:rsidRPr="001E2D25" w:rsidRDefault="001E2D25" w:rsidP="001E0D08">
            <w:pPr>
              <w:jc w:val="both"/>
              <w:rPr>
                <w:rFonts w:cs="Arial"/>
                <w:b/>
              </w:rPr>
            </w:pPr>
            <w:r w:rsidRPr="001E2D25">
              <w:rPr>
                <w:rFonts w:cs="Arial"/>
                <w:b/>
              </w:rPr>
              <w:t>3.6</w:t>
            </w:r>
          </w:p>
        </w:tc>
        <w:tc>
          <w:tcPr>
            <w:tcW w:w="8363" w:type="dxa"/>
            <w:gridSpan w:val="6"/>
            <w:shd w:val="clear" w:color="auto" w:fill="F2F2F2" w:themeFill="background1" w:themeFillShade="F2"/>
          </w:tcPr>
          <w:p w:rsidR="001F3434" w:rsidRPr="001E2D25" w:rsidRDefault="001E2D25" w:rsidP="001F3434">
            <w:pPr>
              <w:rPr>
                <w:rStyle w:val="StandardnurWort"/>
                <w:b/>
              </w:rPr>
            </w:pPr>
            <w:r w:rsidRPr="001E2D25">
              <w:rPr>
                <w:rStyle w:val="StandardnurWort"/>
                <w:b/>
              </w:rPr>
              <w:t>Genereller Ausschluss von Stoffen mit bestimmten Eigenschaften</w:t>
            </w:r>
          </w:p>
        </w:tc>
      </w:tr>
      <w:tr w:rsidR="001F3434" w:rsidTr="00D13A96">
        <w:tc>
          <w:tcPr>
            <w:tcW w:w="1413" w:type="dxa"/>
          </w:tcPr>
          <w:p w:rsidR="001F3434" w:rsidRDefault="001F3434" w:rsidP="001E0D08">
            <w:pPr>
              <w:jc w:val="both"/>
              <w:rPr>
                <w:rFonts w:cs="Arial"/>
              </w:rPr>
            </w:pPr>
          </w:p>
        </w:tc>
        <w:tc>
          <w:tcPr>
            <w:tcW w:w="8363" w:type="dxa"/>
            <w:gridSpan w:val="6"/>
          </w:tcPr>
          <w:p w:rsidR="001E2D25" w:rsidRDefault="001E2D25" w:rsidP="001E2D25">
            <w:r w:rsidRPr="00D47D18">
              <w:t>Als Farbmittel</w:t>
            </w:r>
            <w:r>
              <w:t xml:space="preserve"> (einschl. Druckfarben, Toner und Tinten)</w:t>
            </w:r>
            <w:r w:rsidRPr="00D47D18">
              <w:t>, Beschichtungsstoffe, Fabrikationshilf</w:t>
            </w:r>
            <w:r>
              <w:t>s</w:t>
            </w:r>
            <w:r w:rsidRPr="00D47D18">
              <w:t>stoffe und Papierveredelungsstoffe dürfen keine Stoffe als konstitutionelle Bestandteile zugesetzt werden, die die folgenden Eigenschaften erfüllen:</w:t>
            </w:r>
          </w:p>
          <w:p w:rsidR="001E2D25" w:rsidRPr="006D2D20" w:rsidRDefault="001E2D25" w:rsidP="001E2D25">
            <w:pPr>
              <w:pStyle w:val="AufzhlungBuchstabe"/>
            </w:pPr>
            <w:r w:rsidRPr="00D47D18">
              <w:t>Es dürfen keine Stoffe eingesetzt werden, die gemäß Artikel 57 Absatz 1 der EG-Verordnung 1907/2006 (REACH) als besonders besorgniserregend identifiziert wurden und in die gemäß Artikel 59 Absatz 1 derselben Verordnung erstellte Liste, die sogenannte "Kandidatenliste" aufgenommen wurden [besonders besorgniserregende Stoffe</w:t>
            </w:r>
            <w:r w:rsidRPr="006D2D20">
              <w:t xml:space="preserve"> (SVHC)]</w:t>
            </w:r>
            <w:r w:rsidRPr="006D2D20">
              <w:rPr>
                <w:rStyle w:val="Funotenzeichen"/>
              </w:rPr>
              <w:footnoteReference w:id="6"/>
            </w:r>
            <w:r w:rsidRPr="006D2D20">
              <w:t xml:space="preserve">. </w:t>
            </w:r>
          </w:p>
          <w:p w:rsidR="001E2D25" w:rsidRPr="006D2D20" w:rsidRDefault="001E2D25" w:rsidP="001E2D25">
            <w:pPr>
              <w:pStyle w:val="AufzhlungBuchstabe"/>
            </w:pPr>
            <w:r w:rsidRPr="00D47D18">
              <w:t>Es dürfen keine Stoffe zugesetzt</w:t>
            </w:r>
            <w:r w:rsidRPr="006D2D20">
              <w:t xml:space="preserve"> werden,</w:t>
            </w:r>
          </w:p>
          <w:p w:rsidR="001E2D25" w:rsidRPr="006D2D20" w:rsidRDefault="001E2D25" w:rsidP="001E2D25">
            <w:pPr>
              <w:pStyle w:val="AufzhlungPunkt2"/>
            </w:pPr>
            <w:r w:rsidRPr="00D47D18">
              <w:t>die gemäß den Kriterien der EG-Verordnung 1272/2008 (CLP) mit den in der</w:t>
            </w:r>
            <w:r w:rsidRPr="006D2D20">
              <w:t xml:space="preserve"> folgenden Tabelle 2 genannten H-Sätzen gekennzeichnet sind oder die die Kriterien für eine solche Kennzeichnung erfüllen.</w:t>
            </w:r>
          </w:p>
          <w:p w:rsidR="001E2D25" w:rsidRDefault="001E2D25" w:rsidP="001E2D25">
            <w:pPr>
              <w:pStyle w:val="AufzhlungPunkt2"/>
            </w:pPr>
            <w:r w:rsidRPr="00D47D18">
              <w:lastRenderedPageBreak/>
              <w:t>oder</w:t>
            </w:r>
            <w:r w:rsidRPr="006D2D20">
              <w:t xml:space="preserve"> </w:t>
            </w:r>
            <w:r w:rsidRPr="00D47D18">
              <w:t>die</w:t>
            </w:r>
            <w:r w:rsidRPr="006D2D20">
              <w:t xml:space="preserve"> </w:t>
            </w:r>
            <w:r w:rsidRPr="00D47D18">
              <w:t>entsprechend</w:t>
            </w:r>
            <w:r w:rsidRPr="006D2D20">
              <w:t xml:space="preserve"> </w:t>
            </w:r>
            <w:r w:rsidRPr="00D47D18">
              <w:t>der</w:t>
            </w:r>
            <w:r w:rsidRPr="006D2D20">
              <w:t xml:space="preserve"> </w:t>
            </w:r>
            <w:r w:rsidRPr="00D47D18">
              <w:t>jeweils</w:t>
            </w:r>
            <w:r w:rsidRPr="006D2D20">
              <w:t xml:space="preserve"> </w:t>
            </w:r>
            <w:r w:rsidRPr="00D47D18">
              <w:t>gültigen</w:t>
            </w:r>
            <w:r w:rsidRPr="006D2D20">
              <w:t xml:space="preserve"> </w:t>
            </w:r>
            <w:r w:rsidRPr="00D47D18">
              <w:t>Fassung</w:t>
            </w:r>
            <w:r w:rsidRPr="006D2D20">
              <w:t xml:space="preserve"> </w:t>
            </w:r>
            <w:r w:rsidRPr="00D47D18">
              <w:t>der</w:t>
            </w:r>
            <w:r w:rsidRPr="006D2D20">
              <w:t xml:space="preserve"> </w:t>
            </w:r>
            <w:r w:rsidRPr="00D47D18">
              <w:t>TRGS</w:t>
            </w:r>
            <w:r w:rsidRPr="006D2D20">
              <w:t xml:space="preserve"> 905</w:t>
            </w:r>
            <w:hyperlink w:anchor="_bookmark13" w:history="1">
              <w:r w:rsidRPr="006D2D20">
                <w:rPr>
                  <w:rStyle w:val="Funotenzeichen"/>
                </w:rPr>
                <w:footnoteReference w:id="7"/>
              </w:r>
              <w:r w:rsidRPr="006D2D20">
                <w:t xml:space="preserve"> </w:t>
              </w:r>
            </w:hyperlink>
            <w:r w:rsidRPr="00D47D18">
              <w:t>als</w:t>
            </w:r>
            <w:r w:rsidRPr="006D2D20">
              <w:t xml:space="preserve"> </w:t>
            </w:r>
            <w:r w:rsidRPr="00D47D18">
              <w:t>krebserzeugende, erbgutverändernde oder fortpflanzungsgefährdende Stoffe eingestuft</w:t>
            </w:r>
            <w:r w:rsidRPr="006D2D20">
              <w:t xml:space="preserve"> </w:t>
            </w:r>
            <w:r w:rsidRPr="00D47D18">
              <w:t>sind.</w:t>
            </w:r>
          </w:p>
          <w:p w:rsidR="001E2D25" w:rsidRDefault="001E2D25" w:rsidP="001E2D25">
            <w:pPr>
              <w:pStyle w:val="AufzhlungPunkt2"/>
              <w:numPr>
                <w:ilvl w:val="0"/>
                <w:numId w:val="0"/>
              </w:numPr>
            </w:pPr>
          </w:p>
          <w:p w:rsidR="001E2D25" w:rsidRDefault="001E2D25" w:rsidP="001E2D25">
            <w:pPr>
              <w:pStyle w:val="Standardklein"/>
            </w:pPr>
            <w:r>
              <w:t xml:space="preserve">Tabelle </w:t>
            </w:r>
            <w:r w:rsidR="00A81EBE">
              <w:fldChar w:fldCharType="begin"/>
            </w:r>
            <w:r w:rsidR="00A81EBE">
              <w:instrText xml:space="preserve"> SEQ Tabelle \* ARABIC </w:instrText>
            </w:r>
            <w:r w:rsidR="00A81EBE">
              <w:fldChar w:fldCharType="separate"/>
            </w:r>
            <w:r>
              <w:rPr>
                <w:noProof/>
              </w:rPr>
              <w:t>2</w:t>
            </w:r>
            <w:r w:rsidR="00A81EBE">
              <w:rPr>
                <w:noProof/>
              </w:rPr>
              <w:fldChar w:fldCharType="end"/>
            </w:r>
            <w:r>
              <w:t>:</w:t>
            </w:r>
            <w:r w:rsidRPr="00635B8F">
              <w:t xml:space="preserve"> H-Sätze gemäß CLP-Verordnung</w:t>
            </w:r>
          </w:p>
          <w:tbl>
            <w:tblPr>
              <w:tblStyle w:val="TabellefrVergabegrundlageKopfzeilegrau"/>
              <w:tblW w:w="0" w:type="auto"/>
              <w:tblLook w:val="04A0" w:firstRow="1" w:lastRow="0" w:firstColumn="1" w:lastColumn="0" w:noHBand="0" w:noVBand="1"/>
            </w:tblPr>
            <w:tblGrid>
              <w:gridCol w:w="1876"/>
              <w:gridCol w:w="6261"/>
            </w:tblGrid>
            <w:tr w:rsidR="001E2D25" w:rsidTr="000705AE">
              <w:trPr>
                <w:cnfStyle w:val="100000000000" w:firstRow="1" w:lastRow="0" w:firstColumn="0" w:lastColumn="0" w:oddVBand="0" w:evenVBand="0" w:oddHBand="0" w:evenHBand="0" w:firstRowFirstColumn="0" w:firstRowLastColumn="0" w:lastRowFirstColumn="0" w:lastRowLastColumn="0"/>
              </w:trPr>
              <w:tc>
                <w:tcPr>
                  <w:tcW w:w="2122" w:type="dxa"/>
                </w:tcPr>
                <w:p w:rsidR="001E2D25" w:rsidRPr="00635B8F" w:rsidRDefault="001E2D25" w:rsidP="001E2D25">
                  <w:pPr>
                    <w:pStyle w:val="Tabellentextfettkleinlinksbndig"/>
                  </w:pPr>
                  <w:r w:rsidRPr="00635B8F">
                    <w:t>H-Satz nach</w:t>
                  </w:r>
                </w:p>
                <w:p w:rsidR="001E2D25" w:rsidRDefault="001E2D25" w:rsidP="001E2D25">
                  <w:pPr>
                    <w:pStyle w:val="Tabellentextfettkleinlinksbndig"/>
                  </w:pPr>
                  <w:r w:rsidRPr="00635B8F">
                    <w:t>CLP-Verordnung</w:t>
                  </w:r>
                </w:p>
              </w:tc>
              <w:tc>
                <w:tcPr>
                  <w:tcW w:w="7506" w:type="dxa"/>
                </w:tcPr>
                <w:p w:rsidR="001E2D25" w:rsidRDefault="001E2D25" w:rsidP="001E2D25">
                  <w:pPr>
                    <w:pStyle w:val="Tabellentextfettkleinlinksbndig"/>
                  </w:pPr>
                  <w:r w:rsidRPr="00635B8F">
                    <w:t>Wortlaut</w:t>
                  </w:r>
                </w:p>
              </w:tc>
            </w:tr>
            <w:tr w:rsidR="001E2D25" w:rsidTr="000705AE">
              <w:tc>
                <w:tcPr>
                  <w:tcW w:w="2122" w:type="dxa"/>
                </w:tcPr>
                <w:p w:rsidR="001E2D25" w:rsidRPr="00635B8F" w:rsidRDefault="001E2D25" w:rsidP="001E2D25">
                  <w:pPr>
                    <w:pStyle w:val="Tabellentextstandardkleinlinksbndig"/>
                  </w:pPr>
                  <w:r w:rsidRPr="00E32A28">
                    <w:t>H340</w:t>
                  </w:r>
                </w:p>
              </w:tc>
              <w:tc>
                <w:tcPr>
                  <w:tcW w:w="7506" w:type="dxa"/>
                </w:tcPr>
                <w:p w:rsidR="001E2D25" w:rsidRPr="00E32A28" w:rsidRDefault="001E2D25" w:rsidP="001E2D25">
                  <w:pPr>
                    <w:pStyle w:val="Tabellentextstandardkleinlinksbndig"/>
                  </w:pPr>
                  <w:r w:rsidRPr="00E32A28">
                    <w:t>Kann genetische Defekte verursachen.</w:t>
                  </w:r>
                </w:p>
              </w:tc>
            </w:tr>
            <w:tr w:rsidR="001E2D25" w:rsidTr="000705AE">
              <w:tc>
                <w:tcPr>
                  <w:tcW w:w="2122" w:type="dxa"/>
                </w:tcPr>
                <w:p w:rsidR="001E2D25" w:rsidRPr="00635B8F" w:rsidRDefault="001E2D25" w:rsidP="001E2D25">
                  <w:pPr>
                    <w:pStyle w:val="Tabellentextstandardkleinlinksbndig"/>
                  </w:pPr>
                  <w:r w:rsidRPr="00E32A28">
                    <w:t>H341</w:t>
                  </w:r>
                </w:p>
              </w:tc>
              <w:tc>
                <w:tcPr>
                  <w:tcW w:w="7506" w:type="dxa"/>
                </w:tcPr>
                <w:p w:rsidR="001E2D25" w:rsidRPr="00E32A28" w:rsidRDefault="001E2D25" w:rsidP="001E2D25">
                  <w:pPr>
                    <w:pStyle w:val="Tabellentextstandardkleinlinksbndig"/>
                  </w:pPr>
                  <w:r w:rsidRPr="00E32A28">
                    <w:t>Kann vermutlich genetische Defekte verursachen.</w:t>
                  </w:r>
                </w:p>
              </w:tc>
            </w:tr>
            <w:tr w:rsidR="001E2D25" w:rsidTr="000705AE">
              <w:tc>
                <w:tcPr>
                  <w:tcW w:w="2122" w:type="dxa"/>
                </w:tcPr>
                <w:p w:rsidR="001E2D25" w:rsidRPr="00635B8F" w:rsidRDefault="001E2D25" w:rsidP="001E2D25">
                  <w:pPr>
                    <w:pStyle w:val="Tabellentextstandardkleinlinksbndig"/>
                  </w:pPr>
                  <w:r w:rsidRPr="00E32A28">
                    <w:t>H350</w:t>
                  </w:r>
                </w:p>
              </w:tc>
              <w:tc>
                <w:tcPr>
                  <w:tcW w:w="7506" w:type="dxa"/>
                </w:tcPr>
                <w:p w:rsidR="001E2D25" w:rsidRPr="00E32A28" w:rsidRDefault="001E2D25" w:rsidP="001E2D25">
                  <w:pPr>
                    <w:pStyle w:val="Tabellentextstandardkleinlinksbndig"/>
                  </w:pPr>
                  <w:r w:rsidRPr="00E32A28">
                    <w:t>Kann Krebs erzeugen.</w:t>
                  </w:r>
                </w:p>
              </w:tc>
            </w:tr>
            <w:tr w:rsidR="001E2D25" w:rsidTr="000705AE">
              <w:tc>
                <w:tcPr>
                  <w:tcW w:w="2122" w:type="dxa"/>
                </w:tcPr>
                <w:p w:rsidR="001E2D25" w:rsidRPr="00635B8F" w:rsidRDefault="001E2D25" w:rsidP="001E2D25">
                  <w:pPr>
                    <w:pStyle w:val="Tabellentextstandardkleinlinksbndig"/>
                  </w:pPr>
                  <w:r w:rsidRPr="00E32A28">
                    <w:t>H350i</w:t>
                  </w:r>
                </w:p>
              </w:tc>
              <w:tc>
                <w:tcPr>
                  <w:tcW w:w="7506" w:type="dxa"/>
                </w:tcPr>
                <w:p w:rsidR="001E2D25" w:rsidRPr="00E32A28" w:rsidRDefault="001E2D25" w:rsidP="001E2D25">
                  <w:pPr>
                    <w:pStyle w:val="Tabellentextstandardkleinlinksbndig"/>
                  </w:pPr>
                  <w:r w:rsidRPr="00E32A28">
                    <w:t>Kann bei Einatmen Krebs erzeugen.</w:t>
                  </w:r>
                </w:p>
              </w:tc>
            </w:tr>
            <w:tr w:rsidR="001E2D25" w:rsidTr="000705AE">
              <w:tc>
                <w:tcPr>
                  <w:tcW w:w="2122" w:type="dxa"/>
                </w:tcPr>
                <w:p w:rsidR="001E2D25" w:rsidRPr="00635B8F" w:rsidRDefault="001E2D25" w:rsidP="001E2D25">
                  <w:pPr>
                    <w:pStyle w:val="Tabellentextstandardkleinlinksbndig"/>
                  </w:pPr>
                  <w:r w:rsidRPr="00E32A28">
                    <w:t>H351</w:t>
                  </w:r>
                  <w:r w:rsidRPr="00635B8F">
                    <w:rPr>
                      <w:rStyle w:val="Funotenzeichen"/>
                    </w:rPr>
                    <w:footnoteReference w:id="8"/>
                  </w:r>
                </w:p>
              </w:tc>
              <w:tc>
                <w:tcPr>
                  <w:tcW w:w="7506" w:type="dxa"/>
                </w:tcPr>
                <w:p w:rsidR="001E2D25" w:rsidRPr="00E32A28" w:rsidRDefault="001E2D25" w:rsidP="001E2D25">
                  <w:pPr>
                    <w:pStyle w:val="Tabellentextstandardkleinlinksbndig"/>
                  </w:pPr>
                  <w:r w:rsidRPr="00E32A28">
                    <w:t>Kann vermutlich Krebs erzeugen.</w:t>
                  </w:r>
                </w:p>
              </w:tc>
            </w:tr>
            <w:tr w:rsidR="001E2D25" w:rsidTr="000705AE">
              <w:tc>
                <w:tcPr>
                  <w:tcW w:w="2122" w:type="dxa"/>
                </w:tcPr>
                <w:p w:rsidR="001E2D25" w:rsidRPr="00635B8F" w:rsidRDefault="001E2D25" w:rsidP="001E2D25">
                  <w:pPr>
                    <w:pStyle w:val="Tabellentextstandardkleinlinksbndig"/>
                  </w:pPr>
                  <w:r w:rsidRPr="00E32A28">
                    <w:t>H360F</w:t>
                  </w:r>
                </w:p>
              </w:tc>
              <w:tc>
                <w:tcPr>
                  <w:tcW w:w="7506" w:type="dxa"/>
                </w:tcPr>
                <w:p w:rsidR="001E2D25" w:rsidRPr="00E32A28" w:rsidRDefault="001E2D25" w:rsidP="001E2D25">
                  <w:pPr>
                    <w:pStyle w:val="Tabellentextstandardkleinlinksbndig"/>
                  </w:pPr>
                  <w:r w:rsidRPr="00E32A28">
                    <w:t>Kann die Fruchtbarkeit beeinträchtigen.</w:t>
                  </w:r>
                </w:p>
              </w:tc>
            </w:tr>
            <w:tr w:rsidR="001E2D25" w:rsidTr="000705AE">
              <w:tc>
                <w:tcPr>
                  <w:tcW w:w="2122" w:type="dxa"/>
                </w:tcPr>
                <w:p w:rsidR="001E2D25" w:rsidRPr="00635B8F" w:rsidRDefault="001E2D25" w:rsidP="001E2D25">
                  <w:pPr>
                    <w:pStyle w:val="Tabellentextstandardkleinlinksbndig"/>
                  </w:pPr>
                  <w:r w:rsidRPr="00E32A28">
                    <w:t>H360D</w:t>
                  </w:r>
                </w:p>
              </w:tc>
              <w:tc>
                <w:tcPr>
                  <w:tcW w:w="7506" w:type="dxa"/>
                </w:tcPr>
                <w:p w:rsidR="001E2D25" w:rsidRPr="00E32A28" w:rsidRDefault="001E2D25" w:rsidP="001E2D25">
                  <w:pPr>
                    <w:pStyle w:val="Tabellentextstandardkleinlinksbndig"/>
                  </w:pPr>
                  <w:r w:rsidRPr="00E32A28">
                    <w:t>Kann das Kind im Mutterleib schädigen.</w:t>
                  </w:r>
                </w:p>
              </w:tc>
            </w:tr>
            <w:tr w:rsidR="001E2D25" w:rsidTr="000705AE">
              <w:tc>
                <w:tcPr>
                  <w:tcW w:w="2122" w:type="dxa"/>
                </w:tcPr>
                <w:p w:rsidR="001E2D25" w:rsidRPr="00635B8F" w:rsidRDefault="001E2D25" w:rsidP="001E2D25">
                  <w:pPr>
                    <w:pStyle w:val="Tabellentextstandardkleinlinksbndig"/>
                  </w:pPr>
                  <w:r w:rsidRPr="00E32A28">
                    <w:t>H360FD</w:t>
                  </w:r>
                </w:p>
              </w:tc>
              <w:tc>
                <w:tcPr>
                  <w:tcW w:w="7506" w:type="dxa"/>
                </w:tcPr>
                <w:p w:rsidR="001E2D25" w:rsidRPr="00E32A28" w:rsidRDefault="001E2D25" w:rsidP="001E2D25">
                  <w:pPr>
                    <w:pStyle w:val="Tabellentextstandardkleinlinksbndig"/>
                  </w:pPr>
                  <w:r w:rsidRPr="00E32A28">
                    <w:t>Kann die Fruchtbarkeit beeinträchtigen. Kann das Kind im Mutterleib schädigen.</w:t>
                  </w:r>
                </w:p>
              </w:tc>
            </w:tr>
            <w:tr w:rsidR="001E2D25" w:rsidTr="000705AE">
              <w:tc>
                <w:tcPr>
                  <w:tcW w:w="2122" w:type="dxa"/>
                </w:tcPr>
                <w:p w:rsidR="001E2D25" w:rsidRPr="00635B8F" w:rsidRDefault="001E2D25" w:rsidP="001E2D25">
                  <w:pPr>
                    <w:pStyle w:val="Tabellentextstandardkleinlinksbndig"/>
                  </w:pPr>
                  <w:r w:rsidRPr="00E32A28">
                    <w:t>H360Fd</w:t>
                  </w:r>
                </w:p>
              </w:tc>
              <w:tc>
                <w:tcPr>
                  <w:tcW w:w="7506" w:type="dxa"/>
                </w:tcPr>
                <w:p w:rsidR="001E2D25" w:rsidRPr="00E32A28" w:rsidRDefault="001E2D25" w:rsidP="001E2D25">
                  <w:pPr>
                    <w:pStyle w:val="Tabellentextstandardkleinlinksbndig"/>
                  </w:pPr>
                  <w:r w:rsidRPr="00E32A28">
                    <w:t>Kann die Fruchtbarkeit beeinträchtigen.</w:t>
                  </w:r>
                </w:p>
                <w:p w:rsidR="001E2D25" w:rsidRPr="00E32A28" w:rsidRDefault="001E2D25" w:rsidP="001E2D25">
                  <w:pPr>
                    <w:pStyle w:val="Tabellentextstandardkleinlinksbndig"/>
                  </w:pPr>
                  <w:r w:rsidRPr="00E32A28">
                    <w:t>Kann vermutlich das Kind im Mutterleib schädigen.</w:t>
                  </w:r>
                </w:p>
              </w:tc>
            </w:tr>
            <w:tr w:rsidR="001E2D25" w:rsidTr="000705AE">
              <w:tc>
                <w:tcPr>
                  <w:tcW w:w="2122" w:type="dxa"/>
                </w:tcPr>
                <w:p w:rsidR="001E2D25" w:rsidRPr="00635B8F" w:rsidRDefault="001E2D25" w:rsidP="001E2D25">
                  <w:pPr>
                    <w:pStyle w:val="Tabellentextstandardkleinlinksbndig"/>
                  </w:pPr>
                  <w:r w:rsidRPr="00E32A28">
                    <w:t>H360Df</w:t>
                  </w:r>
                </w:p>
              </w:tc>
              <w:tc>
                <w:tcPr>
                  <w:tcW w:w="7506" w:type="dxa"/>
                </w:tcPr>
                <w:p w:rsidR="001E2D25" w:rsidRPr="00E32A28" w:rsidRDefault="001E2D25" w:rsidP="001E2D25">
                  <w:pPr>
                    <w:pStyle w:val="Tabellentextstandardkleinlinksbndig"/>
                  </w:pPr>
                  <w:r w:rsidRPr="00E32A28">
                    <w:t>Kann das Kind im Mutterleib schädigen.</w:t>
                  </w:r>
                </w:p>
                <w:p w:rsidR="001E2D25" w:rsidRPr="00E32A28" w:rsidRDefault="001E2D25" w:rsidP="001E2D25">
                  <w:pPr>
                    <w:pStyle w:val="Tabellentextstandardkleinlinksbndig"/>
                  </w:pPr>
                  <w:r w:rsidRPr="00E32A28">
                    <w:t>Kann vermutlich die Fruchtbarkeit beeinträchtigen.</w:t>
                  </w:r>
                </w:p>
              </w:tc>
            </w:tr>
            <w:tr w:rsidR="001E2D25" w:rsidTr="000705AE">
              <w:tc>
                <w:tcPr>
                  <w:tcW w:w="2122" w:type="dxa"/>
                </w:tcPr>
                <w:p w:rsidR="001E2D25" w:rsidRPr="00635B8F" w:rsidRDefault="001E2D25" w:rsidP="001E2D25">
                  <w:pPr>
                    <w:pStyle w:val="Tabellentextstandardkleinlinksbndig"/>
                  </w:pPr>
                  <w:r w:rsidRPr="00E32A28">
                    <w:t>H361f</w:t>
                  </w:r>
                </w:p>
              </w:tc>
              <w:tc>
                <w:tcPr>
                  <w:tcW w:w="7506" w:type="dxa"/>
                </w:tcPr>
                <w:p w:rsidR="001E2D25" w:rsidRPr="00E32A28" w:rsidRDefault="001E2D25" w:rsidP="001E2D25">
                  <w:pPr>
                    <w:pStyle w:val="Tabellentextstandardkleinlinksbndig"/>
                  </w:pPr>
                  <w:r w:rsidRPr="00E32A28">
                    <w:t>Kann vermutlich die Fruchtbarkeit beeinträchtigen.</w:t>
                  </w:r>
                </w:p>
              </w:tc>
            </w:tr>
            <w:tr w:rsidR="001E2D25" w:rsidTr="000705AE">
              <w:tc>
                <w:tcPr>
                  <w:tcW w:w="2122" w:type="dxa"/>
                </w:tcPr>
                <w:p w:rsidR="001E2D25" w:rsidRPr="00635B8F" w:rsidRDefault="001E2D25" w:rsidP="001E2D25">
                  <w:pPr>
                    <w:pStyle w:val="Tabellentextstandardkleinlinksbndig"/>
                  </w:pPr>
                  <w:r w:rsidRPr="00E32A28">
                    <w:t>H361d</w:t>
                  </w:r>
                </w:p>
              </w:tc>
              <w:tc>
                <w:tcPr>
                  <w:tcW w:w="7506" w:type="dxa"/>
                </w:tcPr>
                <w:p w:rsidR="001E2D25" w:rsidRPr="00E32A28" w:rsidRDefault="001E2D25" w:rsidP="001E2D25">
                  <w:pPr>
                    <w:pStyle w:val="Tabellentextstandardkleinlinksbndig"/>
                  </w:pPr>
                  <w:r w:rsidRPr="00E32A28">
                    <w:t>Kann vermutlich das Kind im Mutterleib schädigen.</w:t>
                  </w:r>
                </w:p>
              </w:tc>
            </w:tr>
            <w:tr w:rsidR="001E2D25" w:rsidTr="000705AE">
              <w:tc>
                <w:tcPr>
                  <w:tcW w:w="2122" w:type="dxa"/>
                </w:tcPr>
                <w:p w:rsidR="001E2D25" w:rsidRPr="00635B8F" w:rsidRDefault="001E2D25" w:rsidP="001E2D25">
                  <w:pPr>
                    <w:pStyle w:val="Tabellentextstandardkleinlinksbndig"/>
                  </w:pPr>
                  <w:r w:rsidRPr="00E32A28">
                    <w:t>H361fd</w:t>
                  </w:r>
                </w:p>
              </w:tc>
              <w:tc>
                <w:tcPr>
                  <w:tcW w:w="7506" w:type="dxa"/>
                </w:tcPr>
                <w:p w:rsidR="001E2D25" w:rsidRPr="00E32A28" w:rsidRDefault="001E2D25" w:rsidP="001E2D25">
                  <w:pPr>
                    <w:pStyle w:val="Tabellentextstandardkleinlinksbndig"/>
                  </w:pPr>
                  <w:r w:rsidRPr="00E32A28">
                    <w:t>Kann vermutlich die Fruchtbarkeit beeinträchtigen.</w:t>
                  </w:r>
                </w:p>
                <w:p w:rsidR="001E2D25" w:rsidRPr="00E32A28" w:rsidRDefault="001E2D25" w:rsidP="001E2D25">
                  <w:pPr>
                    <w:pStyle w:val="Tabellentextstandardkleinlinksbndig"/>
                  </w:pPr>
                  <w:r w:rsidRPr="00E32A28">
                    <w:t>Kann vermutlich das Kind im Mutterleib schädigen.</w:t>
                  </w:r>
                </w:p>
              </w:tc>
            </w:tr>
            <w:tr w:rsidR="001E2D25" w:rsidTr="000705AE">
              <w:tc>
                <w:tcPr>
                  <w:tcW w:w="9628" w:type="dxa"/>
                  <w:gridSpan w:val="2"/>
                </w:tcPr>
                <w:p w:rsidR="001E2D25" w:rsidRPr="00E32A28" w:rsidRDefault="001E2D25" w:rsidP="001E2D25">
                  <w:pPr>
                    <w:pStyle w:val="Tabellentextfettkleinlinksbndig"/>
                  </w:pPr>
                  <w:r w:rsidRPr="00635B8F">
                    <w:t>Weitere potenzielle Gefährdungen</w:t>
                  </w:r>
                </w:p>
              </w:tc>
            </w:tr>
            <w:tr w:rsidR="001E2D25" w:rsidTr="000705AE">
              <w:tc>
                <w:tcPr>
                  <w:tcW w:w="2122" w:type="dxa"/>
                </w:tcPr>
                <w:p w:rsidR="001E2D25" w:rsidRPr="00635B8F" w:rsidRDefault="001E2D25" w:rsidP="001E2D25">
                  <w:pPr>
                    <w:pStyle w:val="Tabellentextstandardkleinlinksbndig"/>
                  </w:pPr>
                  <w:r>
                    <w:t>H362</w:t>
                  </w:r>
                </w:p>
              </w:tc>
              <w:tc>
                <w:tcPr>
                  <w:tcW w:w="7506" w:type="dxa"/>
                </w:tcPr>
                <w:p w:rsidR="001E2D25" w:rsidRPr="00635B8F" w:rsidRDefault="001E2D25" w:rsidP="001E2D25">
                  <w:pPr>
                    <w:pStyle w:val="Tabellentextstandardkleinlinksbndig"/>
                  </w:pPr>
                  <w:r w:rsidRPr="00CA461C">
                    <w:rPr>
                      <w:szCs w:val="20"/>
                    </w:rPr>
                    <w:t>Kann Säuglinge über die Muttermilch schädigen.</w:t>
                  </w:r>
                </w:p>
              </w:tc>
            </w:tr>
            <w:tr w:rsidR="001E2D25" w:rsidTr="000705AE">
              <w:tc>
                <w:tcPr>
                  <w:tcW w:w="2122" w:type="dxa"/>
                </w:tcPr>
                <w:p w:rsidR="001E2D25" w:rsidRPr="00635B8F" w:rsidRDefault="001E2D25" w:rsidP="001E2D25">
                  <w:pPr>
                    <w:pStyle w:val="Tabellentextstandardkleinlinksbndig"/>
                  </w:pPr>
                  <w:r>
                    <w:t>H370</w:t>
                  </w:r>
                </w:p>
              </w:tc>
              <w:tc>
                <w:tcPr>
                  <w:tcW w:w="7506" w:type="dxa"/>
                </w:tcPr>
                <w:p w:rsidR="001E2D25" w:rsidRPr="00635B8F" w:rsidRDefault="001E2D25" w:rsidP="001E2D25">
                  <w:pPr>
                    <w:pStyle w:val="Tabellentextstandardkleinlinksbndig"/>
                  </w:pPr>
                  <w:proofErr w:type="gramStart"/>
                  <w:r w:rsidRPr="00531B6A">
                    <w:rPr>
                      <w:szCs w:val="20"/>
                    </w:rPr>
                    <w:t>Schädigt</w:t>
                  </w:r>
                  <w:proofErr w:type="gramEnd"/>
                  <w:r w:rsidRPr="00531B6A">
                    <w:rPr>
                      <w:szCs w:val="20"/>
                    </w:rPr>
                    <w:t xml:space="preserve"> die Organe.</w:t>
                  </w:r>
                </w:p>
              </w:tc>
            </w:tr>
            <w:tr w:rsidR="001E2D25" w:rsidTr="000705AE">
              <w:tc>
                <w:tcPr>
                  <w:tcW w:w="2122" w:type="dxa"/>
                </w:tcPr>
                <w:p w:rsidR="001E2D25" w:rsidRPr="00635B8F" w:rsidRDefault="001E2D25" w:rsidP="001E2D25">
                  <w:pPr>
                    <w:pStyle w:val="Tabellentextstandardkleinlinksbndig"/>
                  </w:pPr>
                  <w:r>
                    <w:t>H371</w:t>
                  </w:r>
                </w:p>
              </w:tc>
              <w:tc>
                <w:tcPr>
                  <w:tcW w:w="7506" w:type="dxa"/>
                </w:tcPr>
                <w:p w:rsidR="001E2D25" w:rsidRPr="00635B8F" w:rsidRDefault="001E2D25" w:rsidP="001E2D25">
                  <w:pPr>
                    <w:pStyle w:val="Tabellentextstandardkleinlinksbndig"/>
                  </w:pPr>
                  <w:r w:rsidRPr="00461E12">
                    <w:rPr>
                      <w:szCs w:val="20"/>
                    </w:rPr>
                    <w:t>Kann die Organe schädigen.</w:t>
                  </w:r>
                </w:p>
              </w:tc>
            </w:tr>
            <w:tr w:rsidR="001E2D25" w:rsidTr="000705AE">
              <w:tc>
                <w:tcPr>
                  <w:tcW w:w="2122" w:type="dxa"/>
                </w:tcPr>
                <w:p w:rsidR="001E2D25" w:rsidRPr="00635B8F" w:rsidRDefault="001E2D25" w:rsidP="001E2D25">
                  <w:pPr>
                    <w:pStyle w:val="Tabellentextstandardkleinlinksbndig"/>
                  </w:pPr>
                  <w:r>
                    <w:t>H372</w:t>
                  </w:r>
                </w:p>
              </w:tc>
              <w:tc>
                <w:tcPr>
                  <w:tcW w:w="7506" w:type="dxa"/>
                </w:tcPr>
                <w:p w:rsidR="001E2D25" w:rsidRPr="00635B8F" w:rsidRDefault="001E2D25" w:rsidP="001E2D25">
                  <w:pPr>
                    <w:pStyle w:val="Tabellentextstandardkleinlinksbndig"/>
                  </w:pPr>
                  <w:proofErr w:type="gramStart"/>
                  <w:r w:rsidRPr="00BF0852">
                    <w:rPr>
                      <w:szCs w:val="20"/>
                    </w:rPr>
                    <w:t>Schädigt</w:t>
                  </w:r>
                  <w:proofErr w:type="gramEnd"/>
                  <w:r w:rsidRPr="00BF0852">
                    <w:rPr>
                      <w:szCs w:val="20"/>
                    </w:rPr>
                    <w:t xml:space="preserve"> die Organe bei längerer oder wiederholter Exposition.</w:t>
                  </w:r>
                </w:p>
              </w:tc>
            </w:tr>
            <w:tr w:rsidR="001E2D25" w:rsidTr="000705AE">
              <w:tc>
                <w:tcPr>
                  <w:tcW w:w="2122" w:type="dxa"/>
                </w:tcPr>
                <w:p w:rsidR="001E2D25" w:rsidRPr="00635B8F" w:rsidRDefault="001E2D25" w:rsidP="001E2D25">
                  <w:pPr>
                    <w:pStyle w:val="Tabellentextstandardkleinlinksbndig"/>
                  </w:pPr>
                  <w:r>
                    <w:t>H373</w:t>
                  </w:r>
                </w:p>
              </w:tc>
              <w:tc>
                <w:tcPr>
                  <w:tcW w:w="7506" w:type="dxa"/>
                </w:tcPr>
                <w:p w:rsidR="001E2D25" w:rsidRPr="00635B8F" w:rsidRDefault="001E2D25" w:rsidP="001E2D25">
                  <w:pPr>
                    <w:pStyle w:val="Tabellentextstandardkleinlinksbndig"/>
                  </w:pPr>
                  <w:r w:rsidRPr="000A1F0A">
                    <w:rPr>
                      <w:szCs w:val="20"/>
                    </w:rPr>
                    <w:t>Kann die Organe schädigen bei längerer oder wiederholter Exposition.</w:t>
                  </w:r>
                </w:p>
              </w:tc>
            </w:tr>
            <w:tr w:rsidR="001E2D25" w:rsidTr="000705AE">
              <w:tc>
                <w:tcPr>
                  <w:tcW w:w="2122" w:type="dxa"/>
                </w:tcPr>
                <w:p w:rsidR="001E2D25" w:rsidRPr="00635B8F" w:rsidRDefault="001E2D25" w:rsidP="001E2D25">
                  <w:pPr>
                    <w:pStyle w:val="Tabellentextstandardkleinlinksbndig"/>
                  </w:pPr>
                  <w:r>
                    <w:t>H400</w:t>
                  </w:r>
                </w:p>
              </w:tc>
              <w:tc>
                <w:tcPr>
                  <w:tcW w:w="7506" w:type="dxa"/>
                </w:tcPr>
                <w:p w:rsidR="001E2D25" w:rsidRPr="000A1F0A" w:rsidRDefault="001E2D25" w:rsidP="001E2D25">
                  <w:pPr>
                    <w:pStyle w:val="Tabellentextstandardkleinlinksbndig"/>
                    <w:rPr>
                      <w:szCs w:val="20"/>
                    </w:rPr>
                  </w:pPr>
                  <w:r w:rsidRPr="000A1F0A">
                    <w:rPr>
                      <w:szCs w:val="20"/>
                    </w:rPr>
                    <w:t>Sehr giftig für Wasserorganismen.</w:t>
                  </w:r>
                </w:p>
              </w:tc>
            </w:tr>
            <w:tr w:rsidR="001E2D25" w:rsidTr="000705AE">
              <w:tc>
                <w:tcPr>
                  <w:tcW w:w="2122" w:type="dxa"/>
                </w:tcPr>
                <w:p w:rsidR="001E2D25" w:rsidRPr="00635B8F" w:rsidRDefault="001E2D25" w:rsidP="001E2D25">
                  <w:pPr>
                    <w:pStyle w:val="Tabellentextstandardkleinlinksbndig"/>
                  </w:pPr>
                  <w:r>
                    <w:t>H410</w:t>
                  </w:r>
                </w:p>
              </w:tc>
              <w:tc>
                <w:tcPr>
                  <w:tcW w:w="7506" w:type="dxa"/>
                </w:tcPr>
                <w:p w:rsidR="001E2D25" w:rsidRPr="000A1F0A" w:rsidRDefault="001E2D25" w:rsidP="001E2D25">
                  <w:pPr>
                    <w:pStyle w:val="Tabellentextstandardkleinlinksbndig"/>
                    <w:rPr>
                      <w:szCs w:val="20"/>
                    </w:rPr>
                  </w:pPr>
                  <w:r w:rsidRPr="000A1F0A">
                    <w:rPr>
                      <w:szCs w:val="20"/>
                    </w:rPr>
                    <w:t>Giftig für Wasserorganismen.</w:t>
                  </w:r>
                </w:p>
              </w:tc>
            </w:tr>
            <w:tr w:rsidR="001E2D25" w:rsidTr="000705AE">
              <w:tc>
                <w:tcPr>
                  <w:tcW w:w="2122" w:type="dxa"/>
                </w:tcPr>
                <w:p w:rsidR="001E2D25" w:rsidRPr="00635B8F" w:rsidRDefault="001E2D25" w:rsidP="001E2D25">
                  <w:pPr>
                    <w:pStyle w:val="Tabellentextstandardkleinlinksbndig"/>
                  </w:pPr>
                  <w:r>
                    <w:t>H411</w:t>
                  </w:r>
                </w:p>
              </w:tc>
              <w:tc>
                <w:tcPr>
                  <w:tcW w:w="7506" w:type="dxa"/>
                </w:tcPr>
                <w:p w:rsidR="001E2D25" w:rsidRPr="00635B8F" w:rsidRDefault="001E2D25" w:rsidP="001E2D25">
                  <w:pPr>
                    <w:pStyle w:val="Tabellentextstandardkleinlinksbndig"/>
                  </w:pPr>
                  <w:r w:rsidRPr="000A1F0A">
                    <w:rPr>
                      <w:szCs w:val="20"/>
                    </w:rPr>
                    <w:t>Giftig für Wasserorganismen, mit langfristiger Wirkung.</w:t>
                  </w:r>
                </w:p>
              </w:tc>
            </w:tr>
          </w:tbl>
          <w:p w:rsidR="001E2D25" w:rsidRDefault="001E2D25" w:rsidP="001E2D25">
            <w:pPr>
              <w:pStyle w:val="AufzhlungPunkt2"/>
              <w:numPr>
                <w:ilvl w:val="0"/>
                <w:numId w:val="0"/>
              </w:numPr>
            </w:pPr>
          </w:p>
          <w:p w:rsidR="001F3434" w:rsidRPr="00065893" w:rsidRDefault="001E2D25" w:rsidP="001F3434">
            <w:pPr>
              <w:rPr>
                <w:rStyle w:val="StandardnurWort"/>
              </w:rPr>
            </w:pPr>
            <w:r w:rsidRPr="00626D66">
              <w:t>Diese Anforderung gilt nicht für Stoffe oder Gemische, deren Eigenschaften sich bei der Verarbeitung so ändern (Wegfall der Bioverfügbarkeit, chemische Veränderung), dass die betreffende Gefahr entfällt.</w:t>
            </w:r>
          </w:p>
        </w:tc>
      </w:tr>
      <w:tr w:rsidR="001F3434" w:rsidTr="00206F07">
        <w:tc>
          <w:tcPr>
            <w:tcW w:w="1413" w:type="dxa"/>
            <w:shd w:val="clear" w:color="auto" w:fill="F2F2F2" w:themeFill="background1" w:themeFillShade="F2"/>
          </w:tcPr>
          <w:p w:rsidR="001F3434" w:rsidRPr="00206F07" w:rsidRDefault="00206F07" w:rsidP="001E0D08">
            <w:pPr>
              <w:jc w:val="both"/>
              <w:rPr>
                <w:rFonts w:cs="Arial"/>
                <w:b/>
              </w:rPr>
            </w:pPr>
            <w:r w:rsidRPr="00206F07">
              <w:rPr>
                <w:rFonts w:cs="Arial"/>
                <w:b/>
              </w:rPr>
              <w:lastRenderedPageBreak/>
              <w:t>3.7</w:t>
            </w:r>
          </w:p>
        </w:tc>
        <w:tc>
          <w:tcPr>
            <w:tcW w:w="8363" w:type="dxa"/>
            <w:gridSpan w:val="6"/>
            <w:shd w:val="clear" w:color="auto" w:fill="F2F2F2" w:themeFill="background1" w:themeFillShade="F2"/>
          </w:tcPr>
          <w:p w:rsidR="001F3434" w:rsidRPr="00206F07" w:rsidRDefault="00206F07" w:rsidP="001F3434">
            <w:pPr>
              <w:rPr>
                <w:rStyle w:val="StandardnurWort"/>
                <w:b/>
              </w:rPr>
            </w:pPr>
            <w:r w:rsidRPr="00206F07">
              <w:rPr>
                <w:rStyle w:val="StandardnurWort"/>
                <w:b/>
              </w:rPr>
              <w:t>Weitere Anforderungen an Fabrikationshilfsstoffe und Papierveredelungsstoffe</w:t>
            </w:r>
          </w:p>
        </w:tc>
      </w:tr>
      <w:tr w:rsidR="001F3434" w:rsidTr="00D13A96">
        <w:tc>
          <w:tcPr>
            <w:tcW w:w="1413" w:type="dxa"/>
          </w:tcPr>
          <w:p w:rsidR="001F3434" w:rsidRDefault="001F3434" w:rsidP="001E0D08">
            <w:pPr>
              <w:jc w:val="both"/>
              <w:rPr>
                <w:rFonts w:cs="Arial"/>
              </w:rPr>
            </w:pPr>
          </w:p>
        </w:tc>
        <w:tc>
          <w:tcPr>
            <w:tcW w:w="8363" w:type="dxa"/>
            <w:gridSpan w:val="6"/>
          </w:tcPr>
          <w:p w:rsidR="001F3434" w:rsidRPr="00065893" w:rsidRDefault="00206F07" w:rsidP="001F3434">
            <w:pPr>
              <w:rPr>
                <w:rStyle w:val="StandardnurWort"/>
              </w:rPr>
            </w:pPr>
            <w:r w:rsidRPr="00E32A28">
              <w:rPr>
                <w:rStyle w:val="StandardnurWort"/>
              </w:rPr>
              <w:t xml:space="preserve">Es dürfen nur Fabrikationshilfs- und Papierveredelungsstoffe verwendet werden, die in der </w:t>
            </w:r>
            <w:r w:rsidRPr="00E32A28">
              <w:t>XXXVI. Empfehlung des BfR für "Papiere, Kartons und Pappen für den Lebensmittelkontak</w:t>
            </w:r>
            <w:r w:rsidRPr="00B757DA">
              <w:t>t</w:t>
            </w:r>
            <w:r w:rsidRPr="00B757DA">
              <w:rPr>
                <w:rStyle w:val="Funotenzeichen"/>
              </w:rPr>
              <w:t>"</w:t>
            </w:r>
            <w:r w:rsidRPr="00D87B87">
              <w:rPr>
                <w:rStyle w:val="Funotenzeichen"/>
              </w:rPr>
              <w:footnoteReference w:id="9"/>
            </w:r>
            <w:r>
              <w:t xml:space="preserve"> </w:t>
            </w:r>
            <w:r w:rsidRPr="00E32A28">
              <w:rPr>
                <w:rStyle w:val="StandardnurWort"/>
              </w:rPr>
              <w:t>Positivliste) in den Abschnitten B (Fabrikationshilfsstoffe) und C (Spezielle Papierveredelungs</w:t>
            </w:r>
            <w:r>
              <w:rPr>
                <w:rStyle w:val="StandardnurWort"/>
              </w:rPr>
              <w:t>-</w:t>
            </w:r>
            <w:r w:rsidRPr="00E32A28">
              <w:rPr>
                <w:rStyle w:val="StandardnurWort"/>
              </w:rPr>
              <w:t>stoffe) angeführt sind. Die dort angegebenen Höchstmengen sind einzuhalten.</w:t>
            </w:r>
          </w:p>
        </w:tc>
      </w:tr>
      <w:tr w:rsidR="001F3434" w:rsidRPr="00C32604" w:rsidTr="00C32604">
        <w:tc>
          <w:tcPr>
            <w:tcW w:w="1413" w:type="dxa"/>
            <w:shd w:val="clear" w:color="auto" w:fill="F2F2F2" w:themeFill="background1" w:themeFillShade="F2"/>
          </w:tcPr>
          <w:p w:rsidR="001F3434" w:rsidRPr="00C32604" w:rsidRDefault="00C32604" w:rsidP="001E0D08">
            <w:pPr>
              <w:jc w:val="both"/>
              <w:rPr>
                <w:rFonts w:cs="Arial"/>
                <w:b/>
              </w:rPr>
            </w:pPr>
            <w:r w:rsidRPr="00C32604">
              <w:rPr>
                <w:rFonts w:cs="Arial"/>
                <w:b/>
              </w:rPr>
              <w:lastRenderedPageBreak/>
              <w:t>3.8</w:t>
            </w:r>
          </w:p>
        </w:tc>
        <w:tc>
          <w:tcPr>
            <w:tcW w:w="8363" w:type="dxa"/>
            <w:gridSpan w:val="6"/>
            <w:shd w:val="clear" w:color="auto" w:fill="F2F2F2" w:themeFill="background1" w:themeFillShade="F2"/>
          </w:tcPr>
          <w:p w:rsidR="001F3434" w:rsidRPr="00C32604" w:rsidRDefault="00C32604" w:rsidP="001F3434">
            <w:pPr>
              <w:rPr>
                <w:rStyle w:val="StandardnurWort"/>
                <w:b/>
              </w:rPr>
            </w:pPr>
            <w:r w:rsidRPr="00C32604">
              <w:rPr>
                <w:rStyle w:val="StandardnurWort"/>
                <w:b/>
              </w:rPr>
              <w:t>Bisphenol A und andere Farbentwickler</w:t>
            </w:r>
          </w:p>
        </w:tc>
      </w:tr>
      <w:tr w:rsidR="00206F07" w:rsidRPr="00C32604" w:rsidTr="00D13A96">
        <w:tc>
          <w:tcPr>
            <w:tcW w:w="1413" w:type="dxa"/>
          </w:tcPr>
          <w:p w:rsidR="00206F07" w:rsidRPr="00C32604" w:rsidRDefault="00206F07" w:rsidP="001E0D08">
            <w:pPr>
              <w:jc w:val="both"/>
              <w:rPr>
                <w:rFonts w:cs="Arial"/>
              </w:rPr>
            </w:pPr>
          </w:p>
        </w:tc>
        <w:tc>
          <w:tcPr>
            <w:tcW w:w="8363" w:type="dxa"/>
            <w:gridSpan w:val="6"/>
          </w:tcPr>
          <w:p w:rsidR="00C32604" w:rsidRDefault="00C32604" w:rsidP="00C32604">
            <w:pPr>
              <w:rPr>
                <w:rStyle w:val="StandardnurWort"/>
              </w:rPr>
            </w:pPr>
            <w:r w:rsidRPr="00E32A28">
              <w:rPr>
                <w:rStyle w:val="StandardnurWort"/>
              </w:rPr>
              <w:t xml:space="preserve">Für die Herstellung der Thermopapiere </w:t>
            </w:r>
            <w:r>
              <w:rPr>
                <w:rStyle w:val="StandardnurWort"/>
              </w:rPr>
              <w:t xml:space="preserve">für das Thermodirektdruckverfahren </w:t>
            </w:r>
            <w:r w:rsidRPr="00E32A28">
              <w:rPr>
                <w:rStyle w:val="StandardnurWort"/>
              </w:rPr>
              <w:t>dürfen keine chemischen Farbentwickler</w:t>
            </w:r>
            <w:r>
              <w:rPr>
                <w:rStyle w:val="StandardnurWort"/>
              </w:rPr>
              <w:t>systeme</w:t>
            </w:r>
            <w:r w:rsidRPr="00E32A28">
              <w:rPr>
                <w:rStyle w:val="StandardnurWort"/>
              </w:rPr>
              <w:t xml:space="preserve"> eingesetzt werden</w:t>
            </w:r>
            <w:r>
              <w:rPr>
                <w:rStyle w:val="StandardnurWort"/>
              </w:rPr>
              <w:t>, die nachweislich humantoxisch, ökotoxisch, besonders mobil oder persistent sind oder diesbezüglich unter Verdacht stehen. Von der Anwendung aus</w:t>
            </w:r>
            <w:r w:rsidRPr="00133BAE">
              <w:rPr>
                <w:rStyle w:val="StandardnurWort"/>
              </w:rPr>
              <w:t>geschlossen sind</w:t>
            </w:r>
            <w:r>
              <w:rPr>
                <w:rStyle w:val="StandardnurWort"/>
              </w:rPr>
              <w:t xml:space="preserve"> in jedem Fall die folgend genannten Farbentwickler</w:t>
            </w:r>
            <w:r w:rsidRPr="00133BAE">
              <w:rPr>
                <w:rStyle w:val="StandardnurWort"/>
              </w:rPr>
              <w:t>:</w:t>
            </w:r>
          </w:p>
          <w:p w:rsidR="00C32604" w:rsidRDefault="00C32604" w:rsidP="00C32604">
            <w:pPr>
              <w:rPr>
                <w:rStyle w:val="StandardnurWort"/>
              </w:rPr>
            </w:pPr>
          </w:p>
          <w:p w:rsidR="00C32604" w:rsidRPr="00610B68" w:rsidRDefault="00C32604" w:rsidP="00C32604">
            <w:pPr>
              <w:rPr>
                <w:lang w:val="en-GB"/>
              </w:rPr>
            </w:pPr>
            <w:r w:rsidRPr="00610B68">
              <w:rPr>
                <w:lang w:val="en-GB"/>
              </w:rPr>
              <w:t xml:space="preserve">CAS 80-05-7 Bisphenol A </w:t>
            </w:r>
            <w:r w:rsidRPr="00F57E64">
              <w:rPr>
                <w:rStyle w:val="Funotenzeichen"/>
              </w:rPr>
              <w:footnoteReference w:id="10"/>
            </w:r>
            <w:r w:rsidRPr="00610B68">
              <w:rPr>
                <w:lang w:val="en-GB"/>
              </w:rPr>
              <w:t xml:space="preserve">, </w:t>
            </w:r>
          </w:p>
          <w:p w:rsidR="00C32604" w:rsidRPr="00610B68" w:rsidRDefault="00C32604" w:rsidP="00C32604">
            <w:pPr>
              <w:rPr>
                <w:lang w:val="en-GB"/>
              </w:rPr>
            </w:pPr>
            <w:r w:rsidRPr="00610B68">
              <w:rPr>
                <w:lang w:val="en-GB"/>
              </w:rPr>
              <w:t xml:space="preserve">CAS 77-40-7 Bisphenol B, </w:t>
            </w:r>
          </w:p>
          <w:p w:rsidR="00C32604" w:rsidRPr="00610B68" w:rsidRDefault="00C32604" w:rsidP="00C32604">
            <w:pPr>
              <w:rPr>
                <w:lang w:val="en-GB"/>
              </w:rPr>
            </w:pPr>
            <w:r w:rsidRPr="00610B68">
              <w:rPr>
                <w:lang w:val="en-GB"/>
              </w:rPr>
              <w:t xml:space="preserve">CAS 79-97-0 Bisphenol C, </w:t>
            </w:r>
          </w:p>
          <w:p w:rsidR="00C32604" w:rsidRPr="00610B68" w:rsidRDefault="00C32604" w:rsidP="00C32604">
            <w:pPr>
              <w:rPr>
                <w:lang w:val="en-GB"/>
              </w:rPr>
            </w:pPr>
            <w:r w:rsidRPr="00610B68">
              <w:rPr>
                <w:lang w:val="en-GB"/>
              </w:rPr>
              <w:t xml:space="preserve">CAS 620-92-8 Bisphenol F, </w:t>
            </w:r>
          </w:p>
          <w:p w:rsidR="00C32604" w:rsidRPr="00610B68" w:rsidRDefault="00C32604" w:rsidP="00C32604">
            <w:pPr>
              <w:rPr>
                <w:lang w:val="en-GB"/>
              </w:rPr>
            </w:pPr>
            <w:r w:rsidRPr="00610B68">
              <w:rPr>
                <w:lang w:val="en-GB"/>
              </w:rPr>
              <w:t xml:space="preserve">CAS 80-09-1 Bisphenol S, </w:t>
            </w:r>
          </w:p>
          <w:p w:rsidR="00C32604" w:rsidRPr="00610B68" w:rsidRDefault="00C32604" w:rsidP="00C32604">
            <w:pPr>
              <w:rPr>
                <w:lang w:val="en-GB"/>
              </w:rPr>
            </w:pPr>
            <w:r w:rsidRPr="00610B68">
              <w:rPr>
                <w:lang w:val="en-GB"/>
              </w:rPr>
              <w:t xml:space="preserve">CAS 97042-18-7 Bisphenol S-MAE, </w:t>
            </w:r>
          </w:p>
          <w:p w:rsidR="00C32604" w:rsidRPr="00610B68" w:rsidRDefault="00C32604" w:rsidP="00C32604">
            <w:pPr>
              <w:rPr>
                <w:lang w:val="en-GB"/>
              </w:rPr>
            </w:pPr>
            <w:r w:rsidRPr="00610B68">
              <w:rPr>
                <w:lang w:val="en-GB"/>
              </w:rPr>
              <w:t xml:space="preserve">CAS 2167-51-3 Bisphenol P, </w:t>
            </w:r>
          </w:p>
          <w:p w:rsidR="00C32604" w:rsidRPr="00610B68" w:rsidRDefault="00C32604" w:rsidP="00C32604">
            <w:pPr>
              <w:rPr>
                <w:lang w:val="en-GB"/>
              </w:rPr>
            </w:pPr>
            <w:r w:rsidRPr="00610B68">
              <w:rPr>
                <w:lang w:val="en-GB"/>
              </w:rPr>
              <w:t xml:space="preserve">CAS 41481-66-7 TGSH, </w:t>
            </w:r>
          </w:p>
          <w:p w:rsidR="00C32604" w:rsidRPr="00610B68" w:rsidRDefault="00C32604" w:rsidP="00C32604">
            <w:pPr>
              <w:rPr>
                <w:lang w:val="en-GB"/>
              </w:rPr>
            </w:pPr>
            <w:r w:rsidRPr="00610B68">
              <w:rPr>
                <w:lang w:val="en-GB"/>
              </w:rPr>
              <w:t xml:space="preserve">CAS 95235-30-6 D8, </w:t>
            </w:r>
          </w:p>
          <w:p w:rsidR="00C32604" w:rsidRPr="00610B68" w:rsidRDefault="00C32604" w:rsidP="00C32604">
            <w:pPr>
              <w:rPr>
                <w:lang w:val="en-GB"/>
              </w:rPr>
            </w:pPr>
            <w:r w:rsidRPr="00610B68">
              <w:rPr>
                <w:lang w:val="en-GB"/>
              </w:rPr>
              <w:t xml:space="preserve">CAS 191680-83-8 D90, </w:t>
            </w:r>
          </w:p>
          <w:p w:rsidR="00C32604" w:rsidRPr="00610B68" w:rsidRDefault="00C32604" w:rsidP="00C32604">
            <w:pPr>
              <w:rPr>
                <w:lang w:val="en-GB"/>
              </w:rPr>
            </w:pPr>
            <w:r w:rsidRPr="00610B68">
              <w:rPr>
                <w:lang w:val="en-GB"/>
              </w:rPr>
              <w:t xml:space="preserve">CAS 93589-69-6 DD70, </w:t>
            </w:r>
          </w:p>
          <w:p w:rsidR="00C32604" w:rsidRPr="00F57E64" w:rsidRDefault="00C32604" w:rsidP="00C32604">
            <w:r w:rsidRPr="00266F99">
              <w:t>CAS 232938-43-1 Pergafast 201</w:t>
            </w:r>
            <w:r w:rsidRPr="00F57E64">
              <w:t xml:space="preserve"> </w:t>
            </w:r>
            <w:r w:rsidRPr="00F57E64">
              <w:rPr>
                <w:rStyle w:val="Funotenzeichen"/>
              </w:rPr>
              <w:footnoteReference w:id="11"/>
            </w:r>
            <w:r w:rsidRPr="00F57E64">
              <w:t xml:space="preserve">, </w:t>
            </w:r>
          </w:p>
          <w:p w:rsidR="00206F07" w:rsidRDefault="00C32604" w:rsidP="001F3434">
            <w:r w:rsidRPr="00266F99">
              <w:t>CAS 321860-75-7 UU.</w:t>
            </w:r>
          </w:p>
          <w:p w:rsidR="00694746" w:rsidRDefault="00694746" w:rsidP="001F3434">
            <w:pPr>
              <w:rPr>
                <w:rStyle w:val="StandardnurWort"/>
              </w:rPr>
            </w:pPr>
          </w:p>
          <w:p w:rsidR="00694746" w:rsidRDefault="00694746" w:rsidP="001F3434">
            <w:pPr>
              <w:rPr>
                <w:rFonts w:cs="Arial"/>
                <w:szCs w:val="22"/>
              </w:rPr>
            </w:pPr>
            <w:r>
              <w:rPr>
                <w:rStyle w:val="StandardnurWort"/>
              </w:rPr>
              <w:t>Es wer</w:t>
            </w:r>
            <w:r w:rsidR="00DD3A68">
              <w:rPr>
                <w:rStyle w:val="StandardnurWort"/>
              </w:rPr>
              <w:t xml:space="preserve">den keine Farbentwickler verwendet.      </w:t>
            </w:r>
            <w:r w:rsidR="00DD3A68" w:rsidRPr="004B7B3A">
              <w:rPr>
                <w:rFonts w:cs="Arial"/>
                <w:szCs w:val="22"/>
              </w:rPr>
              <w:fldChar w:fldCharType="begin">
                <w:ffData>
                  <w:name w:val="Kontrollkästchen79"/>
                  <w:enabled/>
                  <w:calcOnExit w:val="0"/>
                  <w:checkBox>
                    <w:sizeAuto/>
                    <w:default w:val="0"/>
                  </w:checkBox>
                </w:ffData>
              </w:fldChar>
            </w:r>
            <w:r w:rsidR="00DD3A68" w:rsidRPr="004B7B3A">
              <w:rPr>
                <w:rFonts w:cs="Arial"/>
                <w:szCs w:val="22"/>
              </w:rPr>
              <w:instrText xml:space="preserve"> FORMCHECKBOX </w:instrText>
            </w:r>
            <w:r w:rsidR="00A81EBE">
              <w:rPr>
                <w:rFonts w:cs="Arial"/>
                <w:szCs w:val="22"/>
              </w:rPr>
            </w:r>
            <w:r w:rsidR="00A81EBE">
              <w:rPr>
                <w:rFonts w:cs="Arial"/>
                <w:szCs w:val="22"/>
              </w:rPr>
              <w:fldChar w:fldCharType="separate"/>
            </w:r>
            <w:r w:rsidR="00DD3A68" w:rsidRPr="004B7B3A">
              <w:rPr>
                <w:rFonts w:cs="Arial"/>
                <w:szCs w:val="22"/>
              </w:rPr>
              <w:fldChar w:fldCharType="end"/>
            </w:r>
          </w:p>
          <w:p w:rsidR="00DD3A68" w:rsidRDefault="00DD3A68" w:rsidP="001F3434">
            <w:pPr>
              <w:rPr>
                <w:rStyle w:val="StandardnurWort"/>
              </w:rPr>
            </w:pPr>
          </w:p>
          <w:p w:rsidR="00DD3A68" w:rsidRPr="00C32604" w:rsidRDefault="00DD3A68" w:rsidP="001F3434">
            <w:pPr>
              <w:rPr>
                <w:rStyle w:val="StandardnurWort"/>
              </w:rPr>
            </w:pPr>
            <w:r>
              <w:rPr>
                <w:rStyle w:val="StandardnurWort"/>
              </w:rPr>
              <w:t xml:space="preserve">Es werden folgende Farbentwickler verwendet: </w:t>
            </w:r>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206F07" w:rsidRPr="00C32604" w:rsidTr="0035039C">
        <w:tc>
          <w:tcPr>
            <w:tcW w:w="1413" w:type="dxa"/>
            <w:shd w:val="clear" w:color="auto" w:fill="F2F2F2" w:themeFill="background1" w:themeFillShade="F2"/>
          </w:tcPr>
          <w:p w:rsidR="00206F07" w:rsidRPr="0035039C" w:rsidRDefault="0035039C" w:rsidP="001E0D08">
            <w:pPr>
              <w:jc w:val="both"/>
              <w:rPr>
                <w:rFonts w:cs="Arial"/>
                <w:b/>
              </w:rPr>
            </w:pPr>
            <w:r w:rsidRPr="0035039C">
              <w:rPr>
                <w:rFonts w:cs="Arial"/>
                <w:b/>
              </w:rPr>
              <w:t>3.9</w:t>
            </w:r>
          </w:p>
        </w:tc>
        <w:tc>
          <w:tcPr>
            <w:tcW w:w="8363" w:type="dxa"/>
            <w:gridSpan w:val="6"/>
            <w:shd w:val="clear" w:color="auto" w:fill="F2F2F2" w:themeFill="background1" w:themeFillShade="F2"/>
          </w:tcPr>
          <w:p w:rsidR="00206F07" w:rsidRPr="0035039C" w:rsidRDefault="0035039C" w:rsidP="001F3434">
            <w:pPr>
              <w:rPr>
                <w:rStyle w:val="StandardnurWort"/>
                <w:b/>
              </w:rPr>
            </w:pPr>
            <w:r w:rsidRPr="0035039C">
              <w:rPr>
                <w:rStyle w:val="StandardnurWort"/>
                <w:b/>
              </w:rPr>
              <w:t>Biozide</w:t>
            </w:r>
          </w:p>
        </w:tc>
      </w:tr>
      <w:tr w:rsidR="00206F07" w:rsidRPr="00C32604" w:rsidTr="00D13A96">
        <w:tc>
          <w:tcPr>
            <w:tcW w:w="1413" w:type="dxa"/>
          </w:tcPr>
          <w:p w:rsidR="00206F07" w:rsidRPr="00C32604" w:rsidRDefault="00206F07" w:rsidP="001E0D08">
            <w:pPr>
              <w:jc w:val="both"/>
              <w:rPr>
                <w:rFonts w:cs="Arial"/>
              </w:rPr>
            </w:pPr>
          </w:p>
        </w:tc>
        <w:tc>
          <w:tcPr>
            <w:tcW w:w="8363" w:type="dxa"/>
            <w:gridSpan w:val="6"/>
          </w:tcPr>
          <w:p w:rsidR="0035039C" w:rsidRPr="00C111E1" w:rsidRDefault="0035039C" w:rsidP="0035039C">
            <w:r w:rsidRPr="00C111E1">
              <w:t>Bei der Herstellung der Thermopapiere dürfen nur Schleimverhinderungsmittel (Wirkstoffe der Produktart 12) und Materialschutzmittel für Fasern (Wirkstoffe der Produktart 9) nach Biozid- produkte-Verordnung eingesetzt werden, die gemäß BiozidVO 528/2012 genehmigt wurden (EU- Liste der genehmigten Wirkstoffe) oder als notifizierte Alt-Wirkstoffe für die jeweilig zutreffende Biozid-Produktart noch im EU-Altwirkstoffprogramm geprüft werden.</w:t>
            </w:r>
          </w:p>
          <w:p w:rsidR="0035039C" w:rsidRPr="00C111E1" w:rsidRDefault="0035039C" w:rsidP="0035039C">
            <w:r w:rsidRPr="00C111E1">
              <w:t>Entsprechend dürfen nur solche Biozidprodukte verwendet werden, die für Produktarten 9 und 12 und explizit für die gewünschte Verwendung zugelassen wurden.</w:t>
            </w:r>
          </w:p>
          <w:p w:rsidR="0035039C" w:rsidRPr="00C111E1" w:rsidRDefault="0035039C" w:rsidP="0035039C">
            <w:r w:rsidRPr="00C111E1">
              <w:t>Übergangsweise dürfen auch Biozidprodukte, die notifizierten Alt-Wirkstoffe der Produktarten 9 und 12 enthalten, die noch im EU-Prüfverfahren sind, bis zur Genehmigungsentscheidung auch ohne Zulassung weiterverwendet werden, wenn sie gemäß Verordnung über die Meldung von Biozidprodukten nach dem Chemikaliengesetz (ChemBiozidMeldeV) gemeldet wurden.</w:t>
            </w:r>
          </w:p>
          <w:p w:rsidR="0035039C" w:rsidRPr="00C111E1" w:rsidRDefault="0035039C" w:rsidP="0035039C">
            <w:r w:rsidRPr="00C111E1">
              <w:t>Darüber hinaus dürfen die verwendeten Biozid-Produkte keine Wirkstoffe enthalten, die nach Art. 10 der BiozidVO 528/2012 zur Substitution vorgesehen sind.</w:t>
            </w:r>
          </w:p>
          <w:p w:rsidR="0035039C" w:rsidRPr="00C111E1" w:rsidRDefault="0035039C" w:rsidP="0035039C">
            <w:r w:rsidRPr="00C111E1">
              <w:t>Bis zum jeweiligen Wirksamwerden der Zulassungspflicht für Biozidprodukte mit notifizierten Alt- Wirkstoffen, die noch im EU-Prüfverfahren sind, sind nur die Stoffe erlaubt, die zusätzlich in der XXXVI. Empfehlung des BfR aufgeführt sind.</w:t>
            </w:r>
          </w:p>
          <w:p w:rsidR="00206F07" w:rsidRPr="00C32604" w:rsidRDefault="0035039C" w:rsidP="001F3434">
            <w:pPr>
              <w:rPr>
                <w:rStyle w:val="StandardnurWort"/>
              </w:rPr>
            </w:pPr>
            <w:r w:rsidRPr="00C111E1">
              <w:t>Gegebenenfalls können Fabrikationshilfsstoffe und Papierveredelungsstoffe, die bei der Herstellung der Thermopapiere eingesetzt werden, verkehrsfähige Biozidprodukte der Produktart 6 (Schutz von Fertigerzeugnissen in Behältern gegen mikrobielle Schädigung zwecks Verlängerung ihrer Haltbarkeit) enthalten. Restgehalte dieser Biozidprodukte werden akzeptiert.</w:t>
            </w:r>
          </w:p>
        </w:tc>
      </w:tr>
      <w:tr w:rsidR="00206F07" w:rsidRPr="00C32604" w:rsidTr="00BA5895">
        <w:tc>
          <w:tcPr>
            <w:tcW w:w="1413" w:type="dxa"/>
            <w:shd w:val="clear" w:color="auto" w:fill="F2F2F2" w:themeFill="background1" w:themeFillShade="F2"/>
          </w:tcPr>
          <w:p w:rsidR="00206F07" w:rsidRPr="00BA5895" w:rsidRDefault="00BA5895" w:rsidP="001E0D08">
            <w:pPr>
              <w:jc w:val="both"/>
              <w:rPr>
                <w:rFonts w:cs="Arial"/>
                <w:b/>
              </w:rPr>
            </w:pPr>
            <w:r w:rsidRPr="00BA5895">
              <w:rPr>
                <w:rFonts w:cs="Arial"/>
                <w:b/>
              </w:rPr>
              <w:t>3.13</w:t>
            </w:r>
          </w:p>
        </w:tc>
        <w:tc>
          <w:tcPr>
            <w:tcW w:w="8363" w:type="dxa"/>
            <w:gridSpan w:val="6"/>
            <w:shd w:val="clear" w:color="auto" w:fill="F2F2F2" w:themeFill="background1" w:themeFillShade="F2"/>
          </w:tcPr>
          <w:p w:rsidR="00206F07" w:rsidRPr="00BA5895" w:rsidRDefault="00BA5895" w:rsidP="001F3434">
            <w:pPr>
              <w:rPr>
                <w:rStyle w:val="StandardnurWort"/>
                <w:b/>
              </w:rPr>
            </w:pPr>
            <w:r w:rsidRPr="00BA5895">
              <w:rPr>
                <w:rStyle w:val="StandardnurWort"/>
                <w:b/>
              </w:rPr>
              <w:t>Anforderungen zur Recyclingfähigkeit von Thermopapier</w:t>
            </w:r>
          </w:p>
        </w:tc>
      </w:tr>
      <w:tr w:rsidR="00206F07" w:rsidRPr="00C32604" w:rsidTr="00D13A96">
        <w:tc>
          <w:tcPr>
            <w:tcW w:w="1413" w:type="dxa"/>
          </w:tcPr>
          <w:p w:rsidR="00206F07" w:rsidRPr="00C32604" w:rsidRDefault="00206F07" w:rsidP="001E0D08">
            <w:pPr>
              <w:jc w:val="both"/>
              <w:rPr>
                <w:rFonts w:cs="Arial"/>
              </w:rPr>
            </w:pPr>
          </w:p>
        </w:tc>
        <w:tc>
          <w:tcPr>
            <w:tcW w:w="8363" w:type="dxa"/>
            <w:gridSpan w:val="6"/>
          </w:tcPr>
          <w:p w:rsidR="00D90D8F" w:rsidRDefault="00D90D8F" w:rsidP="00D90D8F">
            <w:r w:rsidRPr="000904BC">
              <w:t xml:space="preserve">Zur Herstellung von Thermopapieren werden auf einem Rohpapier Streichfarben aufgetragen. Diese erzeugen über Hitzeeinwirkung das Schriftbild. Unbedruckte Thermopapiere enthalten keine Druckfarbe. Das Deinking ist ein üblicher Prozess der Stoffaufbereitung von grafischen Papieren oder grafischem Karton. Thermopapiere sollen diesen Prozess nicht wesentlich beinträchtigen. Die </w:t>
            </w:r>
            <w:r>
              <w:t xml:space="preserve">Prüfung </w:t>
            </w:r>
            <w:r w:rsidRPr="003417B5">
              <w:t xml:space="preserve">zum Nachweis der Recyclingfähigkeit </w:t>
            </w:r>
            <w:r w:rsidRPr="000904BC">
              <w:t>wird mit den Zerfaserungs- und Flotationsbedingungen der INGEDE-Methode 11 (Prüfung der Deinkbarkeit, Stand Januar 2018) durchgeführt.</w:t>
            </w:r>
          </w:p>
          <w:p w:rsidR="00D90D8F" w:rsidRDefault="00D90D8F" w:rsidP="00D90D8F"/>
          <w:p w:rsidR="00D90D8F" w:rsidRDefault="00D90D8F" w:rsidP="00D90D8F">
            <w:r>
              <w:t>Unbedruckte</w:t>
            </w:r>
            <w:r w:rsidRPr="000904BC">
              <w:t xml:space="preserve"> Thermopapiere</w:t>
            </w:r>
            <w:r w:rsidRPr="003417B5">
              <w:t xml:space="preserve"> müssen</w:t>
            </w:r>
            <w:r w:rsidRPr="000904BC">
              <w:t xml:space="preserve"> folgende Kriterien erfüllen:</w:t>
            </w:r>
          </w:p>
          <w:p w:rsidR="00D90D8F" w:rsidRPr="00D4065E" w:rsidRDefault="00D90D8F" w:rsidP="00D90D8F">
            <w:pPr>
              <w:pStyle w:val="AufzhlungPunkt2"/>
            </w:pPr>
            <w:r w:rsidRPr="00F02C46">
              <w:t>In einer Ausgangsmischung bestehend aus 100 % holzfreie</w:t>
            </w:r>
            <w:r w:rsidRPr="00D4065E">
              <w:t>m, ungestrichenen Kopierpapier mit einem Trockentoner beidseitig bedruckt und einem Bedeckungsgrad von 5 % (CEN_TEST Master aus der EN 12281) je Seite darf sich bei Zugabe von 1 % Thermopapier der Hellbezugswert nach Flotation nur um 6 Punkte und die Filtratverdunkelung um 3 Punkte im Vergleich zum flotierten Ausgangsgemisch ohne Thermopapier verschlechtern.</w:t>
            </w:r>
          </w:p>
          <w:p w:rsidR="00D90D8F" w:rsidRPr="00F02C46" w:rsidRDefault="00D90D8F" w:rsidP="00D90D8F">
            <w:pPr>
              <w:pStyle w:val="Standardeingercktum0"/>
            </w:pPr>
            <w:r w:rsidRPr="00F02C46">
              <w:t>oder</w:t>
            </w:r>
          </w:p>
          <w:p w:rsidR="00206F07" w:rsidRPr="00C32604" w:rsidRDefault="00D90D8F" w:rsidP="001F3434">
            <w:pPr>
              <w:pStyle w:val="AufzhlungPunkt2"/>
              <w:rPr>
                <w:rStyle w:val="StandardnurWort"/>
              </w:rPr>
            </w:pPr>
            <w:r w:rsidRPr="00F02C46">
              <w:t xml:space="preserve">In einer Ausgangs-Altpapiermischung aus Zeitungen/Magazinen (offset, ungestrichen) im Verhältnis 60/40% darf sich bei Zugabe von 5 % Thermopapier </w:t>
            </w:r>
            <w:r>
              <w:t>der</w:t>
            </w:r>
            <w:r w:rsidRPr="00F02C46">
              <w:t xml:space="preserve"> Hellbezugswert </w:t>
            </w:r>
            <w:r w:rsidRPr="003417B5">
              <w:t xml:space="preserve">nach Flotation </w:t>
            </w:r>
            <w:r w:rsidRPr="00F02C46">
              <w:t xml:space="preserve">nur um 6 Punkte und die Filtratverdunkelung um 3 Punkte im Vergleich </w:t>
            </w:r>
            <w:r>
              <w:t xml:space="preserve">zum flotierten </w:t>
            </w:r>
            <w:r w:rsidRPr="00F02C46">
              <w:t>Ausgangsgemisch ohne Thermopapier verschlechtern.</w:t>
            </w:r>
          </w:p>
        </w:tc>
      </w:tr>
    </w:tbl>
    <w:p w:rsidR="001E0D08" w:rsidRPr="00C32604" w:rsidRDefault="001E0D08" w:rsidP="001E0D08">
      <w:pPr>
        <w:jc w:val="both"/>
        <w:rPr>
          <w:rFonts w:cs="Arial"/>
        </w:rPr>
      </w:pPr>
    </w:p>
    <w:p w:rsidR="005A1231" w:rsidRPr="00C32604" w:rsidRDefault="005A1231" w:rsidP="001E0D08">
      <w:pPr>
        <w:jc w:val="both"/>
        <w:rPr>
          <w:rFonts w:cs="Arial"/>
        </w:rPr>
      </w:pPr>
    </w:p>
    <w:p w:rsidR="005A1231" w:rsidRPr="004B7B3A" w:rsidRDefault="005A1231" w:rsidP="005A1231">
      <w:pPr>
        <w:jc w:val="both"/>
        <w:rPr>
          <w:rFonts w:cs="Arial"/>
          <w:b/>
          <w:szCs w:val="22"/>
          <w:u w:val="single"/>
        </w:rPr>
      </w:pPr>
      <w:r w:rsidRPr="004B7B3A">
        <w:rPr>
          <w:rFonts w:cs="Arial"/>
          <w:b/>
          <w:szCs w:val="22"/>
          <w:u w:val="single"/>
        </w:rPr>
        <w:t>Erklärungen des Antragstellers</w:t>
      </w:r>
      <w:r w:rsidR="00E402C4">
        <w:rPr>
          <w:rFonts w:cs="Arial"/>
          <w:b/>
          <w:szCs w:val="22"/>
          <w:u w:val="single"/>
        </w:rPr>
        <w:t>: Erzeugnisse aus Thermopapier</w:t>
      </w:r>
    </w:p>
    <w:p w:rsidR="005A1231" w:rsidRPr="004B7B3A" w:rsidRDefault="005A1231" w:rsidP="005A1231">
      <w:pPr>
        <w:jc w:val="both"/>
        <w:rPr>
          <w:rFonts w:cs="Arial"/>
          <w:szCs w:val="22"/>
        </w:rPr>
      </w:pPr>
    </w:p>
    <w:p w:rsidR="005A1231" w:rsidRDefault="005A1231" w:rsidP="005A1231">
      <w:pPr>
        <w:jc w:val="both"/>
        <w:rPr>
          <w:rFonts w:cs="Arial"/>
          <w:szCs w:val="22"/>
        </w:rPr>
      </w:pPr>
      <w:r w:rsidRPr="004B7B3A">
        <w:rPr>
          <w:rFonts w:cs="Arial"/>
          <w:szCs w:val="22"/>
        </w:rPr>
        <w:t xml:space="preserve">Hiermit erklären wir die Einhaltung folgender Anforderungen                    </w:t>
      </w:r>
      <w:r w:rsidRPr="004B7B3A">
        <w:rPr>
          <w:rFonts w:cs="Arial"/>
          <w:szCs w:val="22"/>
        </w:rPr>
        <w:fldChar w:fldCharType="begin">
          <w:ffData>
            <w:name w:val="Kontrollkästchen79"/>
            <w:enabled/>
            <w:calcOnExit w:val="0"/>
            <w:checkBox>
              <w:sizeAuto/>
              <w:default w:val="0"/>
            </w:checkBox>
          </w:ffData>
        </w:fldChar>
      </w:r>
      <w:r w:rsidRPr="004B7B3A">
        <w:rPr>
          <w:rFonts w:cs="Arial"/>
          <w:szCs w:val="22"/>
        </w:rPr>
        <w:instrText xml:space="preserve"> FORMCHECKBOX </w:instrText>
      </w:r>
      <w:r w:rsidR="00A81EBE">
        <w:rPr>
          <w:rFonts w:cs="Arial"/>
          <w:szCs w:val="22"/>
        </w:rPr>
      </w:r>
      <w:r w:rsidR="00A81EBE">
        <w:rPr>
          <w:rFonts w:cs="Arial"/>
          <w:szCs w:val="22"/>
        </w:rPr>
        <w:fldChar w:fldCharType="separate"/>
      </w:r>
      <w:r w:rsidRPr="004B7B3A">
        <w:rPr>
          <w:rFonts w:cs="Arial"/>
          <w:szCs w:val="22"/>
        </w:rPr>
        <w:fldChar w:fldCharType="end"/>
      </w:r>
    </w:p>
    <w:p w:rsidR="005A1231" w:rsidRDefault="005A1231" w:rsidP="005A1231">
      <w:pPr>
        <w:jc w:val="both"/>
        <w:rPr>
          <w:rFonts w:cs="Arial"/>
        </w:rPr>
      </w:pPr>
    </w:p>
    <w:p w:rsidR="0078760D" w:rsidRDefault="0078760D" w:rsidP="005A1231">
      <w:pPr>
        <w:jc w:val="both"/>
        <w:rPr>
          <w:rFonts w:cs="Arial"/>
        </w:rPr>
      </w:pPr>
    </w:p>
    <w:tbl>
      <w:tblPr>
        <w:tblStyle w:val="Tabellenraster"/>
        <w:tblW w:w="9776" w:type="dxa"/>
        <w:tblCellMar>
          <w:top w:w="57" w:type="dxa"/>
          <w:bottom w:w="57" w:type="dxa"/>
        </w:tblCellMar>
        <w:tblLook w:val="04A0" w:firstRow="1" w:lastRow="0" w:firstColumn="1" w:lastColumn="0" w:noHBand="0" w:noVBand="1"/>
      </w:tblPr>
      <w:tblGrid>
        <w:gridCol w:w="1413"/>
        <w:gridCol w:w="2693"/>
        <w:gridCol w:w="5670"/>
      </w:tblGrid>
      <w:tr w:rsidR="005A1231" w:rsidTr="000B21C9">
        <w:tc>
          <w:tcPr>
            <w:tcW w:w="1413" w:type="dxa"/>
            <w:shd w:val="clear" w:color="auto" w:fill="D9D9D9" w:themeFill="background1" w:themeFillShade="D9"/>
          </w:tcPr>
          <w:p w:rsidR="005A1231" w:rsidRPr="001753E6" w:rsidRDefault="005A1231" w:rsidP="000705AE">
            <w:pPr>
              <w:jc w:val="both"/>
              <w:rPr>
                <w:rFonts w:cs="Arial"/>
                <w:b/>
              </w:rPr>
            </w:pPr>
            <w:r w:rsidRPr="001753E6">
              <w:rPr>
                <w:rFonts w:cs="Arial"/>
                <w:b/>
              </w:rPr>
              <w:t>Abschnitt</w:t>
            </w:r>
          </w:p>
        </w:tc>
        <w:tc>
          <w:tcPr>
            <w:tcW w:w="8363" w:type="dxa"/>
            <w:gridSpan w:val="2"/>
            <w:shd w:val="clear" w:color="auto" w:fill="D9D9D9" w:themeFill="background1" w:themeFillShade="D9"/>
          </w:tcPr>
          <w:p w:rsidR="005A1231" w:rsidRPr="001753E6" w:rsidRDefault="005A1231" w:rsidP="000705AE">
            <w:pPr>
              <w:jc w:val="both"/>
              <w:rPr>
                <w:rFonts w:cs="Arial"/>
                <w:b/>
              </w:rPr>
            </w:pPr>
            <w:r w:rsidRPr="001753E6">
              <w:rPr>
                <w:rFonts w:cs="Arial"/>
                <w:b/>
              </w:rPr>
              <w:t>Anforderung</w:t>
            </w:r>
          </w:p>
        </w:tc>
      </w:tr>
      <w:tr w:rsidR="005A1231" w:rsidTr="000B21C9">
        <w:tc>
          <w:tcPr>
            <w:tcW w:w="1413" w:type="dxa"/>
            <w:shd w:val="clear" w:color="auto" w:fill="F2F2F2" w:themeFill="background1" w:themeFillShade="F2"/>
          </w:tcPr>
          <w:p w:rsidR="005A1231" w:rsidRPr="001753E6" w:rsidRDefault="001753E6" w:rsidP="000705AE">
            <w:pPr>
              <w:jc w:val="both"/>
              <w:rPr>
                <w:rFonts w:cs="Arial"/>
                <w:b/>
              </w:rPr>
            </w:pPr>
            <w:r w:rsidRPr="001753E6">
              <w:rPr>
                <w:rFonts w:cs="Arial"/>
                <w:b/>
              </w:rPr>
              <w:t>3.14.1</w:t>
            </w:r>
          </w:p>
        </w:tc>
        <w:tc>
          <w:tcPr>
            <w:tcW w:w="8363" w:type="dxa"/>
            <w:gridSpan w:val="2"/>
            <w:shd w:val="clear" w:color="auto" w:fill="F2F2F2" w:themeFill="background1" w:themeFillShade="F2"/>
          </w:tcPr>
          <w:p w:rsidR="005A1231" w:rsidRPr="001753E6" w:rsidRDefault="001753E6" w:rsidP="000705AE">
            <w:pPr>
              <w:jc w:val="both"/>
              <w:rPr>
                <w:rFonts w:cs="Arial"/>
                <w:b/>
              </w:rPr>
            </w:pPr>
            <w:r w:rsidRPr="001753E6">
              <w:rPr>
                <w:rFonts w:cs="Arial"/>
                <w:b/>
              </w:rPr>
              <w:t>Papiereinsatz</w:t>
            </w:r>
          </w:p>
        </w:tc>
      </w:tr>
      <w:tr w:rsidR="005A1231" w:rsidTr="000B21C9">
        <w:tc>
          <w:tcPr>
            <w:tcW w:w="1413" w:type="dxa"/>
          </w:tcPr>
          <w:p w:rsidR="005A1231" w:rsidRDefault="005A1231" w:rsidP="000705AE">
            <w:pPr>
              <w:jc w:val="both"/>
              <w:rPr>
                <w:rFonts w:cs="Arial"/>
              </w:rPr>
            </w:pPr>
          </w:p>
        </w:tc>
        <w:tc>
          <w:tcPr>
            <w:tcW w:w="8363" w:type="dxa"/>
            <w:gridSpan w:val="2"/>
          </w:tcPr>
          <w:p w:rsidR="005A1231" w:rsidRDefault="000705AE" w:rsidP="000705AE">
            <w:pPr>
              <w:jc w:val="both"/>
            </w:pPr>
            <w:r>
              <w:t>D</w:t>
            </w:r>
            <w:r w:rsidRPr="00B216FA">
              <w:t xml:space="preserve">as Fertigprodukt </w:t>
            </w:r>
            <w:r>
              <w:t xml:space="preserve">ist </w:t>
            </w:r>
            <w:r w:rsidRPr="00B216FA">
              <w:t>ausschließlich aus mit dem Umweltzeichen versehenem Thermopapier hergestellt</w:t>
            </w:r>
            <w:r>
              <w:t>:</w:t>
            </w:r>
          </w:p>
          <w:p w:rsidR="000705AE" w:rsidRDefault="000705AE" w:rsidP="000705AE">
            <w:pPr>
              <w:jc w:val="both"/>
              <w:rPr>
                <w:rFonts w:cs="Arial"/>
              </w:rPr>
            </w:pPr>
          </w:p>
        </w:tc>
      </w:tr>
      <w:tr w:rsidR="000705AE" w:rsidTr="000B21C9">
        <w:tc>
          <w:tcPr>
            <w:tcW w:w="1413" w:type="dxa"/>
          </w:tcPr>
          <w:p w:rsidR="000705AE" w:rsidRDefault="000705AE" w:rsidP="000705AE">
            <w:pPr>
              <w:jc w:val="both"/>
              <w:rPr>
                <w:rFonts w:cs="Arial"/>
              </w:rPr>
            </w:pPr>
          </w:p>
        </w:tc>
        <w:tc>
          <w:tcPr>
            <w:tcW w:w="2693" w:type="dxa"/>
          </w:tcPr>
          <w:p w:rsidR="000705AE" w:rsidRPr="000705AE" w:rsidRDefault="000705AE" w:rsidP="000705AE">
            <w:pPr>
              <w:jc w:val="both"/>
              <w:rPr>
                <w:rFonts w:cs="Arial"/>
                <w:b/>
              </w:rPr>
            </w:pPr>
            <w:r w:rsidRPr="000705AE">
              <w:rPr>
                <w:rFonts w:cs="Arial"/>
                <w:b/>
              </w:rPr>
              <w:t>Thermopapier Name:</w:t>
            </w:r>
          </w:p>
          <w:p w:rsidR="000705AE" w:rsidRPr="000705AE" w:rsidRDefault="000705AE" w:rsidP="000705AE">
            <w:pPr>
              <w:jc w:val="both"/>
              <w:rPr>
                <w:rFonts w:cs="Arial"/>
                <w:b/>
              </w:rPr>
            </w:pPr>
          </w:p>
        </w:tc>
        <w:tc>
          <w:tcPr>
            <w:tcW w:w="5670" w:type="dxa"/>
          </w:tcPr>
          <w:p w:rsidR="000705AE" w:rsidRDefault="000705AE" w:rsidP="000705AE">
            <w:pPr>
              <w:jc w:val="both"/>
              <w:rPr>
                <w:rFonts w:cs="Arial"/>
              </w:rPr>
            </w:pPr>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0705AE" w:rsidTr="000B21C9">
        <w:tc>
          <w:tcPr>
            <w:tcW w:w="1413" w:type="dxa"/>
          </w:tcPr>
          <w:p w:rsidR="000705AE" w:rsidRDefault="000705AE" w:rsidP="000705AE">
            <w:pPr>
              <w:jc w:val="both"/>
              <w:rPr>
                <w:rFonts w:cs="Arial"/>
              </w:rPr>
            </w:pPr>
          </w:p>
        </w:tc>
        <w:tc>
          <w:tcPr>
            <w:tcW w:w="2693" w:type="dxa"/>
          </w:tcPr>
          <w:p w:rsidR="000705AE" w:rsidRPr="000705AE" w:rsidRDefault="000705AE" w:rsidP="000705AE">
            <w:pPr>
              <w:jc w:val="both"/>
              <w:rPr>
                <w:rFonts w:cs="Arial"/>
                <w:b/>
              </w:rPr>
            </w:pPr>
            <w:r w:rsidRPr="000705AE">
              <w:rPr>
                <w:rFonts w:cs="Arial"/>
                <w:b/>
              </w:rPr>
              <w:t>Hersteller:</w:t>
            </w:r>
          </w:p>
          <w:p w:rsidR="000705AE" w:rsidRPr="000705AE" w:rsidRDefault="000705AE" w:rsidP="000705AE">
            <w:pPr>
              <w:jc w:val="both"/>
              <w:rPr>
                <w:rFonts w:cs="Arial"/>
                <w:b/>
              </w:rPr>
            </w:pPr>
          </w:p>
        </w:tc>
        <w:tc>
          <w:tcPr>
            <w:tcW w:w="5670" w:type="dxa"/>
          </w:tcPr>
          <w:p w:rsidR="000705AE" w:rsidRDefault="000705AE" w:rsidP="000705AE">
            <w:pPr>
              <w:jc w:val="both"/>
              <w:rPr>
                <w:rFonts w:cs="Arial"/>
              </w:rPr>
            </w:pPr>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0705AE" w:rsidTr="000B21C9">
        <w:tc>
          <w:tcPr>
            <w:tcW w:w="1413" w:type="dxa"/>
          </w:tcPr>
          <w:p w:rsidR="000705AE" w:rsidRDefault="000705AE" w:rsidP="000705AE">
            <w:pPr>
              <w:jc w:val="both"/>
              <w:rPr>
                <w:rFonts w:cs="Arial"/>
              </w:rPr>
            </w:pPr>
          </w:p>
        </w:tc>
        <w:tc>
          <w:tcPr>
            <w:tcW w:w="2693" w:type="dxa"/>
          </w:tcPr>
          <w:p w:rsidR="000705AE" w:rsidRPr="000705AE" w:rsidRDefault="000705AE" w:rsidP="000705AE">
            <w:pPr>
              <w:jc w:val="both"/>
              <w:rPr>
                <w:rFonts w:cs="Arial"/>
                <w:b/>
              </w:rPr>
            </w:pPr>
            <w:r w:rsidRPr="000705AE">
              <w:rPr>
                <w:rFonts w:cs="Arial"/>
                <w:b/>
              </w:rPr>
              <w:t>Vertragsnummer:</w:t>
            </w:r>
          </w:p>
        </w:tc>
        <w:tc>
          <w:tcPr>
            <w:tcW w:w="5670" w:type="dxa"/>
          </w:tcPr>
          <w:p w:rsidR="000705AE" w:rsidRDefault="000705AE" w:rsidP="000705AE">
            <w:pPr>
              <w:jc w:val="both"/>
              <w:rPr>
                <w:rFonts w:cs="Arial"/>
              </w:rPr>
            </w:pPr>
            <w:r w:rsidRPr="0078760D">
              <w:rPr>
                <w:rFonts w:cs="Arial"/>
                <w:sz w:val="18"/>
              </w:rPr>
              <w:fldChar w:fldCharType="begin">
                <w:ffData>
                  <w:name w:val="Text9"/>
                  <w:enabled/>
                  <w:calcOnExit w:val="0"/>
                  <w:textInput/>
                </w:ffData>
              </w:fldChar>
            </w:r>
            <w:r w:rsidRPr="0078760D">
              <w:rPr>
                <w:rFonts w:cs="Arial"/>
                <w:sz w:val="18"/>
              </w:rPr>
              <w:instrText xml:space="preserve"> FORMTEXT </w:instrText>
            </w:r>
            <w:r w:rsidRPr="0078760D">
              <w:rPr>
                <w:rFonts w:cs="Arial"/>
                <w:sz w:val="18"/>
              </w:rPr>
            </w:r>
            <w:r w:rsidRPr="0078760D">
              <w:rPr>
                <w:rFonts w:cs="Arial"/>
                <w:sz w:val="18"/>
              </w:rPr>
              <w:fldChar w:fldCharType="separate"/>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noProof/>
                <w:sz w:val="18"/>
              </w:rPr>
              <w:t> </w:t>
            </w:r>
            <w:r w:rsidRPr="0078760D">
              <w:rPr>
                <w:rFonts w:cs="Arial"/>
                <w:sz w:val="18"/>
              </w:rPr>
              <w:fldChar w:fldCharType="end"/>
            </w:r>
          </w:p>
        </w:tc>
      </w:tr>
      <w:tr w:rsidR="005A1231" w:rsidTr="000B21C9">
        <w:tc>
          <w:tcPr>
            <w:tcW w:w="1413" w:type="dxa"/>
            <w:shd w:val="clear" w:color="auto" w:fill="F2F2F2" w:themeFill="background1" w:themeFillShade="F2"/>
          </w:tcPr>
          <w:p w:rsidR="005A1231" w:rsidRPr="000B21C9" w:rsidRDefault="000B21C9" w:rsidP="000705AE">
            <w:pPr>
              <w:jc w:val="both"/>
              <w:rPr>
                <w:rFonts w:cs="Arial"/>
                <w:b/>
              </w:rPr>
            </w:pPr>
            <w:r w:rsidRPr="000B21C9">
              <w:rPr>
                <w:rFonts w:cs="Arial"/>
                <w:b/>
              </w:rPr>
              <w:t>3.14.2</w:t>
            </w:r>
          </w:p>
        </w:tc>
        <w:tc>
          <w:tcPr>
            <w:tcW w:w="8363" w:type="dxa"/>
            <w:gridSpan w:val="2"/>
            <w:shd w:val="clear" w:color="auto" w:fill="F2F2F2" w:themeFill="background1" w:themeFillShade="F2"/>
          </w:tcPr>
          <w:p w:rsidR="005A1231" w:rsidRPr="000B21C9" w:rsidRDefault="000B21C9" w:rsidP="000705AE">
            <w:pPr>
              <w:jc w:val="both"/>
              <w:rPr>
                <w:rFonts w:cs="Arial"/>
                <w:b/>
              </w:rPr>
            </w:pPr>
            <w:r w:rsidRPr="000B21C9">
              <w:rPr>
                <w:rFonts w:cs="Arial"/>
                <w:b/>
              </w:rPr>
              <w:t>Mineralöle</w:t>
            </w:r>
          </w:p>
        </w:tc>
      </w:tr>
      <w:tr w:rsidR="005A1231" w:rsidTr="000B21C9">
        <w:tc>
          <w:tcPr>
            <w:tcW w:w="1413" w:type="dxa"/>
          </w:tcPr>
          <w:p w:rsidR="005A1231" w:rsidRDefault="005A1231" w:rsidP="000705AE">
            <w:pPr>
              <w:jc w:val="both"/>
              <w:rPr>
                <w:rFonts w:cs="Arial"/>
              </w:rPr>
            </w:pPr>
          </w:p>
        </w:tc>
        <w:tc>
          <w:tcPr>
            <w:tcW w:w="8363" w:type="dxa"/>
            <w:gridSpan w:val="2"/>
          </w:tcPr>
          <w:p w:rsidR="005A1231" w:rsidRPr="00D515E1" w:rsidRDefault="00522A7B" w:rsidP="00D515E1">
            <w:r w:rsidRPr="00CF2DEE">
              <w:rPr>
                <w:rStyle w:val="StandardnurWort"/>
              </w:rPr>
              <w:t xml:space="preserve">Zur Bedruckung von Erzeugnissen dürfen keine mineralölhaltigen Additive, Farbmittel sowie Mineralöle eingesetzt werden, die aromatische Kohlenwasserstoffe mit einer Kohlenstoffatomanzahl ≥ 10 als Bestandteile enthalten. Von den aliphatischen Kohlenwasserstoffen dürfen nur Stoffe der Kettenlänge C10 bis C20 eingesetzt werden. Pflanzlich basierte Substitute für Mineralöl sollten gentechnikfrei sein und aus nachhaltigem Anbau stammen. </w:t>
            </w:r>
            <w:r w:rsidRPr="009F4A63">
              <w:t xml:space="preserve">Für nachwachsende Rohstoffe werden folgende </w:t>
            </w:r>
            <w:r w:rsidRPr="00522A7B">
              <w:t>Zertifizierungssysteme als</w:t>
            </w:r>
            <w:r w:rsidRPr="009F4A63">
              <w:t xml:space="preserve"> geeignet angesehen: RSPO (Roundtable on Sustainable Palmoil), ISCC+, ISCC EU (International Sustainable &amp; Carbon Certification) oder RSB (Roundtable on Sustainable </w:t>
            </w:r>
            <w:r w:rsidRPr="009F4A63">
              <w:lastRenderedPageBreak/>
              <w:t>Biomaterial), Roundtable Responsible Soy (RTRS) und ProTerra (ProTerra Foundation) oder ein vergleichbares Zertifizierungssystem, das im Umfang und Anforderungsniveau vergleichbar mit einem der genannten Zertifizierungssy</w:t>
            </w:r>
            <w:r>
              <w:t>s</w:t>
            </w:r>
            <w:r w:rsidRPr="009F4A63">
              <w:t>teme ist.</w:t>
            </w:r>
          </w:p>
        </w:tc>
      </w:tr>
      <w:tr w:rsidR="000B21C9" w:rsidTr="00D515E1">
        <w:tc>
          <w:tcPr>
            <w:tcW w:w="1413" w:type="dxa"/>
            <w:shd w:val="clear" w:color="auto" w:fill="F2F2F2" w:themeFill="background1" w:themeFillShade="F2"/>
          </w:tcPr>
          <w:p w:rsidR="000B21C9" w:rsidRPr="00D515E1" w:rsidRDefault="00D515E1" w:rsidP="000705AE">
            <w:pPr>
              <w:jc w:val="both"/>
              <w:rPr>
                <w:rFonts w:cs="Arial"/>
                <w:b/>
              </w:rPr>
            </w:pPr>
            <w:r w:rsidRPr="00D515E1">
              <w:rPr>
                <w:rFonts w:cs="Arial"/>
                <w:b/>
              </w:rPr>
              <w:lastRenderedPageBreak/>
              <w:t>3.14.3</w:t>
            </w:r>
          </w:p>
        </w:tc>
        <w:tc>
          <w:tcPr>
            <w:tcW w:w="8363" w:type="dxa"/>
            <w:gridSpan w:val="2"/>
            <w:shd w:val="clear" w:color="auto" w:fill="F2F2F2" w:themeFill="background1" w:themeFillShade="F2"/>
          </w:tcPr>
          <w:p w:rsidR="000B21C9" w:rsidRPr="00D515E1" w:rsidRDefault="00D515E1" w:rsidP="000705AE">
            <w:pPr>
              <w:jc w:val="both"/>
              <w:rPr>
                <w:rFonts w:cs="Arial"/>
                <w:b/>
              </w:rPr>
            </w:pPr>
            <w:r w:rsidRPr="00D515E1">
              <w:rPr>
                <w:rFonts w:cs="Arial"/>
                <w:b/>
              </w:rPr>
              <w:t>Per- und polyfluorierte Stoffe</w:t>
            </w:r>
          </w:p>
        </w:tc>
      </w:tr>
      <w:tr w:rsidR="000B21C9" w:rsidTr="000B21C9">
        <w:tc>
          <w:tcPr>
            <w:tcW w:w="1413" w:type="dxa"/>
          </w:tcPr>
          <w:p w:rsidR="000B21C9" w:rsidRDefault="000B21C9" w:rsidP="000705AE">
            <w:pPr>
              <w:jc w:val="both"/>
              <w:rPr>
                <w:rFonts w:cs="Arial"/>
              </w:rPr>
            </w:pPr>
          </w:p>
        </w:tc>
        <w:tc>
          <w:tcPr>
            <w:tcW w:w="8363" w:type="dxa"/>
            <w:gridSpan w:val="2"/>
          </w:tcPr>
          <w:p w:rsidR="00D515E1" w:rsidRPr="008D368A" w:rsidRDefault="00D515E1" w:rsidP="00D515E1">
            <w:r w:rsidRPr="008D368A">
              <w:t xml:space="preserve">Zur Vermeidung des Eintrags persistenter Stoffe in die Umwelt müssen folgende Anforderungen eingehalten werden: </w:t>
            </w:r>
          </w:p>
          <w:p w:rsidR="000B21C9" w:rsidRPr="00D515E1" w:rsidRDefault="00D515E1" w:rsidP="00D515E1">
            <w:r w:rsidRPr="008D368A">
              <w:t>Es dürfen keine per- und polyfluorierten Alkylsubstanzen (PFAS) in der Produktion eingesetzt werden.</w:t>
            </w:r>
          </w:p>
        </w:tc>
      </w:tr>
      <w:tr w:rsidR="000B21C9" w:rsidTr="00D515E1">
        <w:tc>
          <w:tcPr>
            <w:tcW w:w="1413" w:type="dxa"/>
            <w:shd w:val="clear" w:color="auto" w:fill="F2F2F2" w:themeFill="background1" w:themeFillShade="F2"/>
          </w:tcPr>
          <w:p w:rsidR="000B21C9" w:rsidRPr="00D515E1" w:rsidRDefault="00D515E1" w:rsidP="000705AE">
            <w:pPr>
              <w:jc w:val="both"/>
              <w:rPr>
                <w:rFonts w:cs="Arial"/>
                <w:b/>
              </w:rPr>
            </w:pPr>
            <w:r w:rsidRPr="00D515E1">
              <w:rPr>
                <w:rFonts w:cs="Arial"/>
                <w:b/>
              </w:rPr>
              <w:t>3.14.4</w:t>
            </w:r>
          </w:p>
        </w:tc>
        <w:tc>
          <w:tcPr>
            <w:tcW w:w="8363" w:type="dxa"/>
            <w:gridSpan w:val="2"/>
            <w:shd w:val="clear" w:color="auto" w:fill="F2F2F2" w:themeFill="background1" w:themeFillShade="F2"/>
          </w:tcPr>
          <w:p w:rsidR="000B21C9" w:rsidRPr="00D515E1" w:rsidRDefault="00D515E1" w:rsidP="000705AE">
            <w:pPr>
              <w:jc w:val="both"/>
              <w:rPr>
                <w:rFonts w:cs="Arial"/>
                <w:b/>
              </w:rPr>
            </w:pPr>
            <w:r w:rsidRPr="00D515E1">
              <w:rPr>
                <w:rFonts w:cs="Arial"/>
                <w:b/>
              </w:rPr>
              <w:t>Recyclingfähigkeit von Erzeugnissen aus Thermopapier</w:t>
            </w:r>
          </w:p>
        </w:tc>
      </w:tr>
      <w:tr w:rsidR="00D515E1" w:rsidTr="000B21C9">
        <w:tc>
          <w:tcPr>
            <w:tcW w:w="1413" w:type="dxa"/>
          </w:tcPr>
          <w:p w:rsidR="00D515E1" w:rsidRDefault="00D515E1" w:rsidP="000705AE">
            <w:pPr>
              <w:jc w:val="both"/>
              <w:rPr>
                <w:rFonts w:cs="Arial"/>
              </w:rPr>
            </w:pPr>
          </w:p>
        </w:tc>
        <w:tc>
          <w:tcPr>
            <w:tcW w:w="8363" w:type="dxa"/>
            <w:gridSpan w:val="2"/>
          </w:tcPr>
          <w:p w:rsidR="00D515E1" w:rsidRPr="00D515E1" w:rsidRDefault="00D515E1" w:rsidP="00D515E1">
            <w:r>
              <w:t>E</w:t>
            </w:r>
            <w:r w:rsidRPr="00CF2DEE">
              <w:t xml:space="preserve">rzeugnisse aus Thermopapier müssen </w:t>
            </w:r>
            <w:r>
              <w:t>die Vorgaben</w:t>
            </w:r>
            <w:r w:rsidRPr="00CF2DEE">
              <w:t xml:space="preserve"> gemäß Punkt 3.13</w:t>
            </w:r>
            <w:r>
              <w:t xml:space="preserve"> erfüllen</w:t>
            </w:r>
            <w:r w:rsidRPr="00CF2DEE">
              <w:t>, um Farbmittel bei einem späteren Recycling weitgehend entfernen zu können.</w:t>
            </w:r>
          </w:p>
        </w:tc>
      </w:tr>
      <w:tr w:rsidR="00D515E1" w:rsidTr="00D515E1">
        <w:tc>
          <w:tcPr>
            <w:tcW w:w="1413" w:type="dxa"/>
            <w:shd w:val="clear" w:color="auto" w:fill="F2F2F2" w:themeFill="background1" w:themeFillShade="F2"/>
          </w:tcPr>
          <w:p w:rsidR="00D515E1" w:rsidRPr="00D515E1" w:rsidRDefault="00D515E1" w:rsidP="000705AE">
            <w:pPr>
              <w:jc w:val="both"/>
              <w:rPr>
                <w:rFonts w:cs="Arial"/>
                <w:b/>
              </w:rPr>
            </w:pPr>
            <w:r w:rsidRPr="00D515E1">
              <w:rPr>
                <w:rFonts w:cs="Arial"/>
                <w:b/>
              </w:rPr>
              <w:t>3.14.5</w:t>
            </w:r>
          </w:p>
        </w:tc>
        <w:tc>
          <w:tcPr>
            <w:tcW w:w="8363" w:type="dxa"/>
            <w:gridSpan w:val="2"/>
            <w:shd w:val="clear" w:color="auto" w:fill="F2F2F2" w:themeFill="background1" w:themeFillShade="F2"/>
          </w:tcPr>
          <w:p w:rsidR="00D515E1" w:rsidRPr="00D515E1" w:rsidRDefault="00D515E1" w:rsidP="000705AE">
            <w:pPr>
              <w:jc w:val="both"/>
              <w:rPr>
                <w:rFonts w:cs="Arial"/>
                <w:b/>
              </w:rPr>
            </w:pPr>
            <w:r w:rsidRPr="00D515E1">
              <w:rPr>
                <w:rFonts w:cs="Arial"/>
                <w:b/>
              </w:rPr>
              <w:t>Gebrauchstauglichkeit</w:t>
            </w:r>
          </w:p>
        </w:tc>
      </w:tr>
      <w:tr w:rsidR="00D515E1" w:rsidTr="000B21C9">
        <w:tc>
          <w:tcPr>
            <w:tcW w:w="1413" w:type="dxa"/>
          </w:tcPr>
          <w:p w:rsidR="00D515E1" w:rsidRDefault="00D515E1" w:rsidP="000705AE">
            <w:pPr>
              <w:jc w:val="both"/>
              <w:rPr>
                <w:rFonts w:cs="Arial"/>
              </w:rPr>
            </w:pPr>
          </w:p>
        </w:tc>
        <w:tc>
          <w:tcPr>
            <w:tcW w:w="8363" w:type="dxa"/>
            <w:gridSpan w:val="2"/>
          </w:tcPr>
          <w:p w:rsidR="00D515E1" w:rsidRPr="00D515E1" w:rsidRDefault="00D515E1" w:rsidP="00D515E1">
            <w:r w:rsidRPr="00E32A28">
              <w:t>Die</w:t>
            </w:r>
            <w:r w:rsidRPr="007C3D71">
              <w:t xml:space="preserve"> </w:t>
            </w:r>
            <w:r>
              <w:t>Lesbar</w:t>
            </w:r>
            <w:r w:rsidRPr="00E32A28">
              <w:t>keit</w:t>
            </w:r>
            <w:r w:rsidRPr="007C3D71">
              <w:t xml:space="preserve"> und die </w:t>
            </w:r>
            <w:r w:rsidRPr="00183343">
              <w:rPr>
                <w:rStyle w:val="StandardnurWort"/>
              </w:rPr>
              <w:t xml:space="preserve">Anforderungen an die Haltbarkeit </w:t>
            </w:r>
            <w:r>
              <w:rPr>
                <w:rStyle w:val="StandardnurWort"/>
              </w:rPr>
              <w:t xml:space="preserve">müssen von </w:t>
            </w:r>
            <w:r w:rsidRPr="00E32A28">
              <w:t>de</w:t>
            </w:r>
            <w:r>
              <w:t xml:space="preserve">n Fertigerzeugnissen aus </w:t>
            </w:r>
            <w:r w:rsidRPr="00E32A28">
              <w:t>Thermopapier</w:t>
            </w:r>
            <w:r w:rsidRPr="007C3D71">
              <w:t xml:space="preserve"> </w:t>
            </w:r>
            <w:r w:rsidRPr="00E32A28">
              <w:t>gewährleistet</w:t>
            </w:r>
            <w:r w:rsidRPr="007C3D71">
              <w:t xml:space="preserve"> </w:t>
            </w:r>
            <w:r w:rsidRPr="00E32A28">
              <w:t>sein.</w:t>
            </w:r>
            <w:r w:rsidRPr="007C3D71">
              <w:t xml:space="preserve"> Der Hersteller entwickelt daraus resultierende Aufbewahrungsempfehlungen für den Nutzer z.B. zum Zwecke der Dokumentation.</w:t>
            </w:r>
          </w:p>
        </w:tc>
      </w:tr>
    </w:tbl>
    <w:p w:rsidR="005A1231" w:rsidRPr="00F1664D" w:rsidRDefault="005A1231" w:rsidP="001E0D08">
      <w:pPr>
        <w:jc w:val="both"/>
        <w:rPr>
          <w:rFonts w:cs="Arial"/>
        </w:rPr>
      </w:pPr>
    </w:p>
    <w:sectPr w:rsidR="005A1231" w:rsidRPr="00F1664D" w:rsidSect="00581C26">
      <w:headerReference w:type="default" r:id="rId8"/>
      <w:footerReference w:type="default" r:id="rId9"/>
      <w:headerReference w:type="first" r:id="rId10"/>
      <w:footerReference w:type="first" r:id="rId11"/>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50D" w:rsidRDefault="006A150D">
      <w:r>
        <w:separator/>
      </w:r>
    </w:p>
  </w:endnote>
  <w:endnote w:type="continuationSeparator" w:id="0">
    <w:p w:rsidR="006A150D" w:rsidRDefault="006A1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50D" w:rsidRPr="00B010C2" w:rsidRDefault="006A150D" w:rsidP="00581C26">
    <w:pPr>
      <w:pStyle w:val="Fuzeile"/>
      <w:tabs>
        <w:tab w:val="clear" w:pos="9072"/>
        <w:tab w:val="right" w:pos="9540"/>
      </w:tabs>
      <w:rPr>
        <w:rFonts w:cs="Arial"/>
      </w:rPr>
    </w:pPr>
    <w:r w:rsidRPr="00B010C2">
      <w:rPr>
        <w:rFonts w:cs="Arial"/>
      </w:rPr>
      <w:t xml:space="preserve">Anlage </w:t>
    </w:r>
    <w:r>
      <w:rPr>
        <w:rFonts w:cs="Arial"/>
      </w:rPr>
      <w:t>1</w:t>
    </w:r>
    <w:r w:rsidRPr="00B010C2">
      <w:rPr>
        <w:rFonts w:cs="Arial"/>
      </w:rPr>
      <w:t xml:space="preserve"> zum Vertrag</w:t>
    </w:r>
    <w:r w:rsidRPr="00B010C2">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Pr>
        <w:rStyle w:val="Seitenzahl"/>
        <w:rFonts w:cs="Arial"/>
        <w:noProof/>
      </w:rPr>
      <w:t>4</w:t>
    </w:r>
    <w:r w:rsidRPr="00B010C2">
      <w:rPr>
        <w:rStyle w:val="Seitenzahl"/>
        <w:rFonts w:cs="Arial"/>
      </w:rPr>
      <w:fldChar w:fldCharType="end"/>
    </w:r>
    <w:r w:rsidRPr="00B010C2">
      <w:rPr>
        <w:rStyle w:val="Seitenzahl"/>
        <w:rFonts w:cs="Arial"/>
      </w:rPr>
      <w:tab/>
      <w:t xml:space="preserve">     DE-UZ </w:t>
    </w:r>
    <w:r>
      <w:rPr>
        <w:rStyle w:val="Seitenzahl"/>
        <w:rFonts w:cs="Arial"/>
      </w:rPr>
      <w:t>223</w:t>
    </w:r>
    <w:r w:rsidRPr="00B010C2">
      <w:rPr>
        <w:rStyle w:val="Seitenzahl"/>
        <w:rFonts w:cs="Arial"/>
      </w:rPr>
      <w:t xml:space="preserve"> Ausgabe </w:t>
    </w:r>
    <w:r>
      <w:rPr>
        <w:rStyle w:val="Seitenzahl"/>
        <w:rFonts w:cs="Arial"/>
      </w:rPr>
      <w:t>Januar</w:t>
    </w:r>
    <w:r w:rsidRPr="00B010C2">
      <w:rPr>
        <w:rStyle w:val="Seitenzahl"/>
        <w:rFonts w:cs="Arial"/>
      </w:rPr>
      <w:t xml:space="preserve"> 20</w:t>
    </w:r>
    <w:r>
      <w:rPr>
        <w:rStyle w:val="Seitenzahl"/>
        <w:rFonts w:cs="Arial"/>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50D" w:rsidRPr="00731E02" w:rsidRDefault="006A150D"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50D" w:rsidRDefault="006A150D">
      <w:r>
        <w:separator/>
      </w:r>
    </w:p>
  </w:footnote>
  <w:footnote w:type="continuationSeparator" w:id="0">
    <w:p w:rsidR="006A150D" w:rsidRDefault="006A150D">
      <w:r>
        <w:continuationSeparator/>
      </w:r>
    </w:p>
  </w:footnote>
  <w:footnote w:id="1">
    <w:p w:rsidR="006A150D" w:rsidRPr="00C153FB" w:rsidRDefault="006A150D" w:rsidP="00E528C1">
      <w:pPr>
        <w:pStyle w:val="Funotentext"/>
        <w:rPr>
          <w:szCs w:val="18"/>
        </w:rPr>
      </w:pPr>
      <w:r w:rsidRPr="00C153FB">
        <w:rPr>
          <w:rStyle w:val="Funotenzeichen"/>
          <w:szCs w:val="18"/>
        </w:rPr>
        <w:footnoteRef/>
      </w:r>
      <w:r w:rsidRPr="00C153FB">
        <w:rPr>
          <w:szCs w:val="18"/>
        </w:rPr>
        <w:t xml:space="preserve"> </w:t>
      </w:r>
      <w:r>
        <w:tab/>
      </w:r>
      <w:r w:rsidRPr="00C153FB">
        <w:rPr>
          <w:szCs w:val="18"/>
        </w:rPr>
        <w:t>O steht für Sauerstoff (Oxygenium)</w:t>
      </w:r>
    </w:p>
  </w:footnote>
  <w:footnote w:id="2">
    <w:p w:rsidR="006A150D" w:rsidRDefault="006A150D" w:rsidP="00E528C1">
      <w:pPr>
        <w:pStyle w:val="Funotentext"/>
      </w:pPr>
      <w:r w:rsidRPr="00C153FB">
        <w:rPr>
          <w:rStyle w:val="Funotenzeichen"/>
          <w:szCs w:val="18"/>
        </w:rPr>
        <w:footnoteRef/>
      </w:r>
      <w:r w:rsidRPr="00C153FB">
        <w:rPr>
          <w:szCs w:val="18"/>
        </w:rPr>
        <w:t xml:space="preserve"> </w:t>
      </w:r>
      <w:r>
        <w:tab/>
      </w:r>
      <w:r w:rsidRPr="00C153FB">
        <w:rPr>
          <w:szCs w:val="18"/>
        </w:rPr>
        <w:t>lufttrocken: luftgetrockneter Zellstoff</w:t>
      </w:r>
    </w:p>
  </w:footnote>
  <w:footnote w:id="3">
    <w:p w:rsidR="006A150D" w:rsidRPr="00270635" w:rsidRDefault="006A150D" w:rsidP="00407A44">
      <w:pPr>
        <w:pStyle w:val="Funotentext"/>
      </w:pPr>
      <w:r w:rsidRPr="00A74B87">
        <w:rPr>
          <w:rStyle w:val="Funotenzeichen"/>
          <w:szCs w:val="18"/>
        </w:rPr>
        <w:footnoteRef/>
      </w:r>
      <w:r w:rsidRPr="00A74B87">
        <w:rPr>
          <w:szCs w:val="18"/>
        </w:rPr>
        <w:t xml:space="preserve"> </w:t>
      </w:r>
      <w:r>
        <w:tab/>
      </w:r>
      <w:hyperlink r:id="rId1" w:history="1">
        <w:r w:rsidRPr="007F65FF">
          <w:rPr>
            <w:rStyle w:val="Hyperlink"/>
          </w:rPr>
          <w:t>https://www.nordic-ecolabel.org/globalassets/ai001_3.0_basic_module_cd.pdf</w:t>
        </w:r>
      </w:hyperlink>
    </w:p>
  </w:footnote>
  <w:footnote w:id="4">
    <w:p w:rsidR="006A150D" w:rsidRPr="007438DD" w:rsidRDefault="006A150D" w:rsidP="005D7945">
      <w:pPr>
        <w:pStyle w:val="Funotentext"/>
        <w:rPr>
          <w:szCs w:val="18"/>
        </w:rPr>
      </w:pPr>
      <w:r w:rsidRPr="005B0132">
        <w:rPr>
          <w:rStyle w:val="Funotenzeichen"/>
        </w:rPr>
        <w:footnoteRef/>
      </w:r>
      <w:r w:rsidRPr="005B0132">
        <w:t xml:space="preserve"> </w:t>
      </w:r>
      <w:r>
        <w:tab/>
      </w:r>
      <w:r w:rsidRPr="00C73938">
        <w:t xml:space="preserve">BREF (Best </w:t>
      </w:r>
      <w:proofErr w:type="spellStart"/>
      <w:r w:rsidRPr="00C73938">
        <w:t>Available</w:t>
      </w:r>
      <w:proofErr w:type="spellEnd"/>
      <w:r w:rsidRPr="00C73938">
        <w:t xml:space="preserve"> </w:t>
      </w:r>
      <w:proofErr w:type="spellStart"/>
      <w:r w:rsidRPr="00C73938">
        <w:t>Techniques</w:t>
      </w:r>
      <w:proofErr w:type="spellEnd"/>
      <w:r w:rsidRPr="00C73938">
        <w:t xml:space="preserve"> Reference </w:t>
      </w:r>
      <w:proofErr w:type="spellStart"/>
      <w:r w:rsidRPr="00C73938">
        <w:t>Document</w:t>
      </w:r>
      <w:proofErr w:type="spellEnd"/>
      <w:r w:rsidRPr="00C73938">
        <w:t xml:space="preserve">) Vollversion und BVT-Schlussfolgerungen in Deutsch und Englisch unter </w:t>
      </w:r>
      <w:hyperlink r:id="rId2" w:history="1">
        <w:r w:rsidRPr="00C73938">
          <w:t>https://www.umweltbundesamt.de/themen/wirtschaft-konsum/beste-verfuegbare-techniken/sevilla-prozess/bvt-merkblaetter-durchfuehrungsbeschluesse</w:t>
        </w:r>
      </w:hyperlink>
      <w:r>
        <w:rPr>
          <w:szCs w:val="18"/>
        </w:rPr>
        <w:t xml:space="preserve"> </w:t>
      </w:r>
    </w:p>
  </w:footnote>
  <w:footnote w:id="5">
    <w:p w:rsidR="006A150D" w:rsidRDefault="006A150D" w:rsidP="001F3434">
      <w:pPr>
        <w:pStyle w:val="Funotentext"/>
      </w:pPr>
      <w:r>
        <w:rPr>
          <w:rStyle w:val="Funotenzeichen"/>
        </w:rPr>
        <w:footnoteRef/>
      </w:r>
      <w:r>
        <w:t xml:space="preserve"> </w:t>
      </w:r>
      <w:r>
        <w:tab/>
      </w:r>
      <w:r w:rsidRPr="00D1239E">
        <w:t>Siehe Fußnote 21</w:t>
      </w:r>
    </w:p>
  </w:footnote>
  <w:footnote w:id="6">
    <w:p w:rsidR="006A150D" w:rsidRPr="00270635" w:rsidRDefault="006A150D" w:rsidP="001E2D25">
      <w:pPr>
        <w:pStyle w:val="Funotentext"/>
      </w:pPr>
      <w:r w:rsidRPr="00370EE6">
        <w:rPr>
          <w:rStyle w:val="Funotenzeichen"/>
        </w:rPr>
        <w:footnoteRef/>
      </w:r>
      <w:r w:rsidRPr="00270635">
        <w:t xml:space="preserve"> </w:t>
      </w:r>
      <w:r>
        <w:tab/>
      </w:r>
      <w:hyperlink r:id="rId3" w:history="1">
        <w:r w:rsidRPr="007F65FF">
          <w:rPr>
            <w:rStyle w:val="Hyperlink"/>
          </w:rPr>
          <w:t>https://www.reach-clp-biozid-helpdesk.de/SiteGlobals/Forms/Suche/DE/Kandidatenlistesuche_Formular.html?nn=8790910</w:t>
        </w:r>
      </w:hyperlink>
      <w:r w:rsidRPr="00270635">
        <w:rPr>
          <w:rStyle w:val="Hyperlink"/>
        </w:rPr>
        <w:t xml:space="preserve"> </w:t>
      </w:r>
    </w:p>
  </w:footnote>
  <w:footnote w:id="7">
    <w:p w:rsidR="006A150D" w:rsidRPr="00270635" w:rsidRDefault="006A150D" w:rsidP="001E2D25">
      <w:pPr>
        <w:pStyle w:val="Funotentext"/>
      </w:pPr>
      <w:r w:rsidRPr="00370EE6">
        <w:rPr>
          <w:rStyle w:val="Funotenzeichen"/>
        </w:rPr>
        <w:footnoteRef/>
      </w:r>
      <w:r w:rsidRPr="00270635">
        <w:t xml:space="preserve"> </w:t>
      </w:r>
      <w:r>
        <w:tab/>
      </w:r>
      <w:hyperlink r:id="rId4" w:history="1">
        <w:r w:rsidRPr="007F65FF">
          <w:rPr>
            <w:rStyle w:val="Hyperlink"/>
          </w:rPr>
          <w:t>https://www.baua.de/DE/Angebote/Rechtstexte-und-Technische-Regeln/Regelwerk/TRGS/pdf/TRGS-905.pdf</w:t>
        </w:r>
      </w:hyperlink>
      <w:r w:rsidRPr="00270635">
        <w:rPr>
          <w:rStyle w:val="Hyperlink"/>
        </w:rPr>
        <w:t xml:space="preserve"> </w:t>
      </w:r>
    </w:p>
  </w:footnote>
  <w:footnote w:id="8">
    <w:p w:rsidR="006A150D" w:rsidRPr="00270635" w:rsidRDefault="006A150D" w:rsidP="001E2D25">
      <w:pPr>
        <w:pStyle w:val="Funotentext"/>
      </w:pPr>
      <w:r w:rsidRPr="00370EE6">
        <w:rPr>
          <w:rStyle w:val="Funotenzeichen"/>
        </w:rPr>
        <w:footnoteRef/>
      </w:r>
      <w:r w:rsidRPr="00270635">
        <w:t xml:space="preserve"> </w:t>
      </w:r>
      <w:r>
        <w:tab/>
      </w:r>
      <w:r w:rsidRPr="00121C34">
        <w:t>Ausgenommen davon ist Titandioxid, da sich die Einstufung nur auf einatembare Stäube bezieht.</w:t>
      </w:r>
    </w:p>
  </w:footnote>
  <w:footnote w:id="9">
    <w:p w:rsidR="006A150D" w:rsidRPr="0091609D" w:rsidRDefault="006A150D" w:rsidP="00206F07">
      <w:pPr>
        <w:pStyle w:val="Funotentext"/>
      </w:pPr>
      <w:r w:rsidRPr="009674F9">
        <w:rPr>
          <w:rStyle w:val="Funotenzeichen"/>
        </w:rPr>
        <w:footnoteRef/>
      </w:r>
      <w:r w:rsidRPr="0091609D">
        <w:rPr>
          <w:rStyle w:val="Funotenzeichen"/>
        </w:rPr>
        <w:t xml:space="preserve"> </w:t>
      </w:r>
      <w:r>
        <w:tab/>
      </w:r>
      <w:r w:rsidRPr="00D87B87">
        <w:t>BfR Empfehlung in der aktuell gültigen Fassung</w:t>
      </w:r>
      <w:r w:rsidRPr="0091609D" w:rsidDel="00266F99">
        <w:t xml:space="preserve"> </w:t>
      </w:r>
    </w:p>
  </w:footnote>
  <w:footnote w:id="10">
    <w:p w:rsidR="006A150D" w:rsidRPr="00266F99" w:rsidRDefault="006A150D" w:rsidP="00C32604">
      <w:pPr>
        <w:pStyle w:val="Funotentext"/>
        <w:rPr>
          <w:lang w:val="en-GB"/>
        </w:rPr>
      </w:pPr>
      <w:r w:rsidRPr="009674F9">
        <w:rPr>
          <w:rStyle w:val="Funotenzeichen"/>
        </w:rPr>
        <w:footnoteRef/>
      </w:r>
      <w:r w:rsidRPr="00266F99">
        <w:rPr>
          <w:lang w:val="en-GB"/>
        </w:rPr>
        <w:t xml:space="preserve"> </w:t>
      </w:r>
      <w:r w:rsidRPr="00610B68">
        <w:rPr>
          <w:lang w:val="en-GB"/>
        </w:rPr>
        <w:tab/>
      </w:r>
      <w:hyperlink r:id="rId5" w:history="1">
        <w:r w:rsidRPr="00266F99">
          <w:rPr>
            <w:rStyle w:val="Hyperlink"/>
            <w:lang w:val="en-GB"/>
          </w:rPr>
          <w:t>echa.europa.eu/de/registry-of-restriction-intentions/-/dislist/details/0b0236e1853413ea</w:t>
        </w:r>
      </w:hyperlink>
      <w:r w:rsidRPr="00266F99">
        <w:rPr>
          <w:lang w:val="en-GB"/>
        </w:rPr>
        <w:t xml:space="preserve"> </w:t>
      </w:r>
    </w:p>
  </w:footnote>
  <w:footnote w:id="11">
    <w:p w:rsidR="006A150D" w:rsidRPr="005522EB" w:rsidRDefault="006A150D" w:rsidP="00C32604">
      <w:pPr>
        <w:pStyle w:val="Funotentext"/>
        <w:rPr>
          <w:lang w:val="en-GB"/>
        </w:rPr>
      </w:pPr>
      <w:r w:rsidRPr="009674F9">
        <w:rPr>
          <w:rStyle w:val="Funotenzeichen"/>
        </w:rPr>
        <w:footnoteRef/>
      </w:r>
      <w:r w:rsidRPr="005522EB">
        <w:rPr>
          <w:lang w:val="en-GB"/>
        </w:rPr>
        <w:t xml:space="preserve"> </w:t>
      </w:r>
      <w:r w:rsidRPr="00610B68">
        <w:rPr>
          <w:lang w:val="en-GB"/>
        </w:rPr>
        <w:tab/>
      </w:r>
      <w:hyperlink r:id="rId6" w:history="1">
        <w:r w:rsidRPr="005522EB">
          <w:rPr>
            <w:rStyle w:val="Hyperlink"/>
            <w:lang w:val="en-GB"/>
          </w:rPr>
          <w:t>echa.europa.eu/documents/10162/a264b52b-c474-5cad-7ef1-8485245e3d39</w:t>
        </w:r>
      </w:hyperlink>
      <w:r w:rsidRPr="005522EB">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50D" w:rsidRDefault="006A150D">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50D" w:rsidRDefault="006A150D">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6"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AD0956"/>
    <w:multiLevelType w:val="hybridMultilevel"/>
    <w:tmpl w:val="AEBE5D26"/>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3"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5"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5"/>
  </w:num>
  <w:num w:numId="2">
    <w:abstractNumId w:val="7"/>
  </w:num>
  <w:num w:numId="3">
    <w:abstractNumId w:val="28"/>
  </w:num>
  <w:num w:numId="4">
    <w:abstractNumId w:val="34"/>
  </w:num>
  <w:num w:numId="5">
    <w:abstractNumId w:val="6"/>
  </w:num>
  <w:num w:numId="6">
    <w:abstractNumId w:val="32"/>
  </w:num>
  <w:num w:numId="7">
    <w:abstractNumId w:val="33"/>
  </w:num>
  <w:num w:numId="8">
    <w:abstractNumId w:val="16"/>
  </w:num>
  <w:num w:numId="9">
    <w:abstractNumId w:val="19"/>
  </w:num>
  <w:num w:numId="10">
    <w:abstractNumId w:val="10"/>
  </w:num>
  <w:num w:numId="11">
    <w:abstractNumId w:val="30"/>
  </w:num>
  <w:num w:numId="12">
    <w:abstractNumId w:val="12"/>
  </w:num>
  <w:num w:numId="13">
    <w:abstractNumId w:val="8"/>
  </w:num>
  <w:num w:numId="14">
    <w:abstractNumId w:val="2"/>
  </w:num>
  <w:num w:numId="15">
    <w:abstractNumId w:val="14"/>
  </w:num>
  <w:num w:numId="16">
    <w:abstractNumId w:val="11"/>
  </w:num>
  <w:num w:numId="17">
    <w:abstractNumId w:val="17"/>
  </w:num>
  <w:num w:numId="18">
    <w:abstractNumId w:val="15"/>
  </w:num>
  <w:num w:numId="19">
    <w:abstractNumId w:val="3"/>
  </w:num>
  <w:num w:numId="20">
    <w:abstractNumId w:val="13"/>
  </w:num>
  <w:num w:numId="21">
    <w:abstractNumId w:val="31"/>
  </w:num>
  <w:num w:numId="22">
    <w:abstractNumId w:val="0"/>
  </w:num>
  <w:num w:numId="23">
    <w:abstractNumId w:val="20"/>
  </w:num>
  <w:num w:numId="24">
    <w:abstractNumId w:val="23"/>
  </w:num>
  <w:num w:numId="25">
    <w:abstractNumId w:val="18"/>
  </w:num>
  <w:num w:numId="26">
    <w:abstractNumId w:val="21"/>
  </w:num>
  <w:num w:numId="27">
    <w:abstractNumId w:val="4"/>
  </w:num>
  <w:num w:numId="28">
    <w:abstractNumId w:val="9"/>
  </w:num>
  <w:num w:numId="29">
    <w:abstractNumId w:val="24"/>
  </w:num>
  <w:num w:numId="30">
    <w:abstractNumId w:val="26"/>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29"/>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gsymxxrJj6YquBsyulUiIL7+vGJRCtONpwGsqSBqeBFg5sTgUEuJoufq9ES30LO5g1C0GNyrF3K+/0qYUTymw==" w:salt="wihVu5S3QVOk57NwYwXb2w=="/>
  <w:defaultTabStop w:val="708"/>
  <w:autoHyphenation/>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05AE"/>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4869"/>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21C9"/>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3E6"/>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89D"/>
    <w:rsid w:val="001D52FC"/>
    <w:rsid w:val="001D568B"/>
    <w:rsid w:val="001D7BC3"/>
    <w:rsid w:val="001E0D08"/>
    <w:rsid w:val="001E1192"/>
    <w:rsid w:val="001E1D7F"/>
    <w:rsid w:val="001E2D25"/>
    <w:rsid w:val="001E4FE9"/>
    <w:rsid w:val="001E52A1"/>
    <w:rsid w:val="001E765C"/>
    <w:rsid w:val="001F3434"/>
    <w:rsid w:val="001F5171"/>
    <w:rsid w:val="001F5609"/>
    <w:rsid w:val="001F56D1"/>
    <w:rsid w:val="001F5F3F"/>
    <w:rsid w:val="001F604F"/>
    <w:rsid w:val="001F61CE"/>
    <w:rsid w:val="002028D5"/>
    <w:rsid w:val="00205A52"/>
    <w:rsid w:val="00205B91"/>
    <w:rsid w:val="00206CA7"/>
    <w:rsid w:val="00206F0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4A"/>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7DAF"/>
    <w:rsid w:val="002C01FE"/>
    <w:rsid w:val="002C3B52"/>
    <w:rsid w:val="002C3E40"/>
    <w:rsid w:val="002C3F22"/>
    <w:rsid w:val="002C60D1"/>
    <w:rsid w:val="002C623B"/>
    <w:rsid w:val="002C6881"/>
    <w:rsid w:val="002C7232"/>
    <w:rsid w:val="002D0053"/>
    <w:rsid w:val="002D041D"/>
    <w:rsid w:val="002D18A9"/>
    <w:rsid w:val="002D1FC8"/>
    <w:rsid w:val="002D24FC"/>
    <w:rsid w:val="002D2872"/>
    <w:rsid w:val="002D3C41"/>
    <w:rsid w:val="002D42D2"/>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4530"/>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5039C"/>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6E99"/>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07A44"/>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77A63"/>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1714"/>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2A7B"/>
    <w:rsid w:val="00525355"/>
    <w:rsid w:val="00525B8D"/>
    <w:rsid w:val="0052702A"/>
    <w:rsid w:val="00527F2D"/>
    <w:rsid w:val="00527F2F"/>
    <w:rsid w:val="00530E20"/>
    <w:rsid w:val="005324F1"/>
    <w:rsid w:val="00532AE7"/>
    <w:rsid w:val="005341F4"/>
    <w:rsid w:val="00535B1B"/>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148D"/>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231"/>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945"/>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284"/>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4746"/>
    <w:rsid w:val="0069688C"/>
    <w:rsid w:val="006969A6"/>
    <w:rsid w:val="00696A92"/>
    <w:rsid w:val="0069700A"/>
    <w:rsid w:val="00697389"/>
    <w:rsid w:val="00697619"/>
    <w:rsid w:val="006A150D"/>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11F3"/>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E7D67"/>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4B1"/>
    <w:rsid w:val="0078587E"/>
    <w:rsid w:val="00785AAC"/>
    <w:rsid w:val="00785C17"/>
    <w:rsid w:val="00786B4E"/>
    <w:rsid w:val="00786FF1"/>
    <w:rsid w:val="0078760D"/>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A77CC"/>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5891"/>
    <w:rsid w:val="00856650"/>
    <w:rsid w:val="0085727D"/>
    <w:rsid w:val="00862D52"/>
    <w:rsid w:val="008630CF"/>
    <w:rsid w:val="00863553"/>
    <w:rsid w:val="00865494"/>
    <w:rsid w:val="00867B03"/>
    <w:rsid w:val="0087185A"/>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448C"/>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2CE8"/>
    <w:rsid w:val="009A2FA7"/>
    <w:rsid w:val="009A3E94"/>
    <w:rsid w:val="009A459E"/>
    <w:rsid w:val="009A5ED9"/>
    <w:rsid w:val="009A63F3"/>
    <w:rsid w:val="009A66D0"/>
    <w:rsid w:val="009A7907"/>
    <w:rsid w:val="009A7E6A"/>
    <w:rsid w:val="009B2D77"/>
    <w:rsid w:val="009B3F5E"/>
    <w:rsid w:val="009B597B"/>
    <w:rsid w:val="009B797F"/>
    <w:rsid w:val="009B7B79"/>
    <w:rsid w:val="009C0080"/>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EC1"/>
    <w:rsid w:val="00A11F6F"/>
    <w:rsid w:val="00A137BE"/>
    <w:rsid w:val="00A1398C"/>
    <w:rsid w:val="00A17A8A"/>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58B3"/>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1EB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895"/>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08D"/>
    <w:rsid w:val="00C06222"/>
    <w:rsid w:val="00C0649A"/>
    <w:rsid w:val="00C104E0"/>
    <w:rsid w:val="00C10906"/>
    <w:rsid w:val="00C12978"/>
    <w:rsid w:val="00C12B08"/>
    <w:rsid w:val="00C135BD"/>
    <w:rsid w:val="00C15D5B"/>
    <w:rsid w:val="00C16236"/>
    <w:rsid w:val="00C16422"/>
    <w:rsid w:val="00C16C7F"/>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2604"/>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3A96"/>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5E1"/>
    <w:rsid w:val="00D51933"/>
    <w:rsid w:val="00D544BF"/>
    <w:rsid w:val="00D54E67"/>
    <w:rsid w:val="00D553A3"/>
    <w:rsid w:val="00D557D3"/>
    <w:rsid w:val="00D56B31"/>
    <w:rsid w:val="00D57B2F"/>
    <w:rsid w:val="00D61553"/>
    <w:rsid w:val="00D615B7"/>
    <w:rsid w:val="00D61CC5"/>
    <w:rsid w:val="00D6248C"/>
    <w:rsid w:val="00D62F61"/>
    <w:rsid w:val="00D65F9F"/>
    <w:rsid w:val="00D70471"/>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0D8F"/>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3A68"/>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02C4"/>
    <w:rsid w:val="00E41777"/>
    <w:rsid w:val="00E44677"/>
    <w:rsid w:val="00E44E9A"/>
    <w:rsid w:val="00E452F2"/>
    <w:rsid w:val="00E46381"/>
    <w:rsid w:val="00E4684F"/>
    <w:rsid w:val="00E46A8E"/>
    <w:rsid w:val="00E46C4B"/>
    <w:rsid w:val="00E472A0"/>
    <w:rsid w:val="00E5198A"/>
    <w:rsid w:val="00E51C39"/>
    <w:rsid w:val="00E528C1"/>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4A18"/>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9F4"/>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48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14537D0"/>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9A2FA7"/>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9A2FA7"/>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9A2FA7"/>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9A2FA7"/>
    <w:rPr>
      <w:rFonts w:ascii="Verdana" w:eastAsiaTheme="minorEastAsia" w:hAnsi="Verdana" w:cstheme="minorBidi"/>
      <w:lang w:eastAsia="ja-JP"/>
    </w:rPr>
  </w:style>
  <w:style w:type="paragraph" w:customStyle="1" w:styleId="Anhangberschrift">
    <w:name w:val="Anhang Überschrift"/>
    <w:basedOn w:val="Listenabsatz"/>
    <w:next w:val="Standard"/>
    <w:qFormat/>
    <w:rsid w:val="009A2FA7"/>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9A2FA7"/>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9A2FA7"/>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9A2FA7"/>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854B1"/>
    <w:rPr>
      <w:color w:val="605E5C"/>
      <w:shd w:val="clear" w:color="auto" w:fill="E1DFDD"/>
    </w:rPr>
  </w:style>
  <w:style w:type="paragraph" w:customStyle="1" w:styleId="AufzhlungPunkt1">
    <w:name w:val="Aufzählung Punkt 1"/>
    <w:basedOn w:val="Standard"/>
    <w:link w:val="AufzhlungPunkt1Zchn"/>
    <w:qFormat/>
    <w:rsid w:val="00E528C1"/>
    <w:pPr>
      <w:numPr>
        <w:numId w:val="34"/>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E528C1"/>
    <w:rPr>
      <w:rFonts w:ascii="Verdana" w:eastAsiaTheme="minorEastAsia" w:hAnsi="Verdana" w:cstheme="minorBidi"/>
      <w:lang w:eastAsia="ja-JP"/>
    </w:rPr>
  </w:style>
  <w:style w:type="paragraph" w:customStyle="1" w:styleId="Standardeingercktum0">
    <w:name w:val="Standard eingerückt um 0"/>
    <w:aliases w:val="75"/>
    <w:basedOn w:val="Standard"/>
    <w:link w:val="Standardeingercktum0Zchn"/>
    <w:qFormat/>
    <w:rsid w:val="00E528C1"/>
    <w:pPr>
      <w:spacing w:line="288" w:lineRule="auto"/>
      <w:ind w:left="426"/>
      <w:jc w:val="both"/>
    </w:pPr>
    <w:rPr>
      <w:rFonts w:eastAsiaTheme="minorEastAsia" w:cstheme="minorBidi"/>
      <w:color w:val="auto"/>
      <w:lang w:eastAsia="ja-JP"/>
    </w:rPr>
  </w:style>
  <w:style w:type="character" w:customStyle="1" w:styleId="Standardeingercktum0Zchn">
    <w:name w:val="Standard eingerückt um 0 Zchn"/>
    <w:aliases w:val="75 Zchn"/>
    <w:basedOn w:val="Absatz-Standardschriftart"/>
    <w:link w:val="Standardeingercktum0"/>
    <w:rsid w:val="00E528C1"/>
    <w:rPr>
      <w:rFonts w:ascii="Verdana" w:eastAsiaTheme="minorEastAsia" w:hAnsi="Verdana" w:cstheme="minorBidi"/>
      <w:lang w:eastAsia="ja-JP"/>
    </w:rPr>
  </w:style>
  <w:style w:type="character" w:customStyle="1" w:styleId="Tiefgestellt">
    <w:name w:val="Tiefgestellt"/>
    <w:basedOn w:val="Absatz-Standardschriftart"/>
    <w:rsid w:val="00E528C1"/>
    <w:rPr>
      <w:vertAlign w:val="subscript"/>
    </w:rPr>
  </w:style>
  <w:style w:type="paragraph" w:customStyle="1" w:styleId="b1">
    <w:name w:val="Üb 1"/>
    <w:basedOn w:val="Listenabsatz"/>
    <w:next w:val="Standard"/>
    <w:qFormat/>
    <w:rsid w:val="00407A44"/>
    <w:pPr>
      <w:keepNext/>
      <w:numPr>
        <w:numId w:val="3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407A44"/>
    <w:pPr>
      <w:numPr>
        <w:ilvl w:val="1"/>
      </w:numPr>
      <w:spacing w:before="240"/>
      <w:ind w:left="709" w:hanging="709"/>
      <w:outlineLvl w:val="1"/>
    </w:pPr>
    <w:rPr>
      <w:sz w:val="20"/>
    </w:rPr>
  </w:style>
  <w:style w:type="paragraph" w:customStyle="1" w:styleId="b3">
    <w:name w:val="Üb 3"/>
    <w:basedOn w:val="Listenabsatz"/>
    <w:next w:val="Standard"/>
    <w:qFormat/>
    <w:rsid w:val="00407A44"/>
    <w:pPr>
      <w:keepNext/>
      <w:numPr>
        <w:ilvl w:val="2"/>
        <w:numId w:val="3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407A44"/>
    <w:pPr>
      <w:numPr>
        <w:ilvl w:val="3"/>
      </w:numPr>
      <w:ind w:left="1077" w:hanging="1077"/>
      <w:outlineLvl w:val="3"/>
    </w:pPr>
  </w:style>
  <w:style w:type="paragraph" w:customStyle="1" w:styleId="b5">
    <w:name w:val="Üb 5"/>
    <w:basedOn w:val="b4"/>
    <w:next w:val="Standard"/>
    <w:qFormat/>
    <w:rsid w:val="00407A44"/>
    <w:pPr>
      <w:numPr>
        <w:ilvl w:val="4"/>
      </w:numPr>
      <w:ind w:left="1304" w:hanging="1304"/>
      <w:outlineLvl w:val="4"/>
    </w:pPr>
  </w:style>
  <w:style w:type="paragraph" w:customStyle="1" w:styleId="b6">
    <w:name w:val="Üb 6"/>
    <w:basedOn w:val="b5"/>
    <w:next w:val="Standard"/>
    <w:qFormat/>
    <w:rsid w:val="00407A44"/>
    <w:pPr>
      <w:numPr>
        <w:ilvl w:val="5"/>
      </w:numPr>
      <w:ind w:left="1559" w:hanging="1559"/>
      <w:outlineLvl w:val="5"/>
    </w:pPr>
  </w:style>
  <w:style w:type="paragraph" w:customStyle="1" w:styleId="AufzhlungBuchstabe">
    <w:name w:val="Aufzählung Buchstabe"/>
    <w:basedOn w:val="b2"/>
    <w:link w:val="AufzhlungBuchstabeZchn"/>
    <w:qFormat/>
    <w:rsid w:val="00407A44"/>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407A44"/>
    <w:rPr>
      <w:rFonts w:ascii="Verdana" w:eastAsiaTheme="minorEastAsia" w:hAnsi="Verdana" w:cstheme="minorBidi"/>
      <w:szCs w:val="22"/>
      <w:lang w:eastAsia="ja-JP"/>
    </w:rPr>
  </w:style>
  <w:style w:type="character" w:customStyle="1" w:styleId="StandardfettnurWort">
    <w:name w:val="Standard fett nur Wort"/>
    <w:basedOn w:val="Absatz-Standardschriftart"/>
    <w:uiPriority w:val="1"/>
    <w:qFormat/>
    <w:rsid w:val="00407A44"/>
    <w:rPr>
      <w:rFonts w:ascii="Verdana" w:hAnsi="Verdana"/>
      <w:b/>
      <w:sz w:val="20"/>
    </w:rPr>
  </w:style>
  <w:style w:type="paragraph" w:customStyle="1" w:styleId="AufzhlungBuchstabeFett">
    <w:name w:val="Aufzählung Buchstabe Fett"/>
    <w:basedOn w:val="AufzhlungBuchstabe"/>
    <w:rsid w:val="00407A44"/>
    <w:pPr>
      <w:numPr>
        <w:ilvl w:val="8"/>
      </w:numPr>
      <w:tabs>
        <w:tab w:val="num" w:pos="6970"/>
      </w:tabs>
      <w:ind w:left="6970" w:hanging="180"/>
    </w:pPr>
    <w:rPr>
      <w:b/>
      <w:bCs/>
    </w:rPr>
  </w:style>
  <w:style w:type="paragraph" w:customStyle="1" w:styleId="AufzhlungBuchstabeKursiv">
    <w:name w:val="Aufzählung Buchstabe Kursiv"/>
    <w:basedOn w:val="AufzhlungBuchstabe"/>
    <w:rsid w:val="00407A44"/>
    <w:pPr>
      <w:numPr>
        <w:ilvl w:val="7"/>
      </w:numPr>
      <w:tabs>
        <w:tab w:val="num" w:pos="6250"/>
      </w:tabs>
      <w:ind w:left="6250" w:hanging="360"/>
    </w:pPr>
    <w:rPr>
      <w:i/>
      <w:iCs/>
    </w:rPr>
  </w:style>
  <w:style w:type="paragraph" w:customStyle="1" w:styleId="Standardklein">
    <w:name w:val="Standard klein"/>
    <w:basedOn w:val="Standard"/>
    <w:link w:val="StandardkleinZchn"/>
    <w:qFormat/>
    <w:rsid w:val="005D7945"/>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D7945"/>
    <w:rPr>
      <w:rFonts w:ascii="Verdana" w:eastAsiaTheme="minorEastAsia" w:hAnsi="Verdana" w:cstheme="minorBidi"/>
      <w:sz w:val="16"/>
      <w:szCs w:val="16"/>
      <w:lang w:eastAsia="ja-JP"/>
    </w:rPr>
  </w:style>
  <w:style w:type="character" w:customStyle="1" w:styleId="Hochgestellt">
    <w:name w:val="Hochgestellt"/>
    <w:basedOn w:val="Absatz-Standardschriftart"/>
    <w:rsid w:val="005D7945"/>
    <w:rPr>
      <w:vertAlign w:val="superscript"/>
    </w:rPr>
  </w:style>
  <w:style w:type="table" w:customStyle="1" w:styleId="TabellefrVergabegrundlageKopfzeilegrau">
    <w:name w:val="Tabelle für Vergabegrundlage Kopfzeile grau"/>
    <w:basedOn w:val="NormaleTabelle"/>
    <w:uiPriority w:val="99"/>
    <w:rsid w:val="005D7945"/>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D7945"/>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D7945"/>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D7945"/>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D7945"/>
    <w:rPr>
      <w:rFonts w:ascii="Verdana" w:eastAsiaTheme="minorEastAsia" w:hAnsi="Verdana" w:cstheme="minorBidi"/>
      <w:sz w:val="18"/>
      <w:szCs w:val="18"/>
      <w:lang w:eastAsia="ja-JP"/>
    </w:rPr>
  </w:style>
  <w:style w:type="character" w:customStyle="1" w:styleId="StandardnurWort">
    <w:name w:val="Standard nur Wort"/>
    <w:basedOn w:val="Absatz-Standardschriftart"/>
    <w:uiPriority w:val="1"/>
    <w:qFormat/>
    <w:rsid w:val="001F3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reach-clp-biozid-helpdesk.de/SiteGlobals/Forms/Suche/DE/Kandidatenlistesuche_Formular.html?nn=8790910" TargetMode="External"/><Relationship Id="rId2" Type="http://schemas.openxmlformats.org/officeDocument/2006/relationships/hyperlink" Target="https://www.umweltbundesamt.de/themen/wirtschaft-konsum/beste-verfuegbare-techniken/sevilla-prozess/bvt-merkblaetter-durchfuehrungsbeschluesse" TargetMode="External"/><Relationship Id="rId1" Type="http://schemas.openxmlformats.org/officeDocument/2006/relationships/hyperlink" Target="https://www.nordic-ecolabel.org/globalassets/ai001_3.0_basic_module_cd.pdf" TargetMode="External"/><Relationship Id="rId6" Type="http://schemas.openxmlformats.org/officeDocument/2006/relationships/hyperlink" Target="file:///\\uba\gruppen\III1.3\pub\&#220;berarbeitung%20Thermopapier\echa.europa.eu\documents\10162\a264b52b-c474-5cad-7ef1-8485245e3d39" TargetMode="External"/><Relationship Id="rId5" Type="http://schemas.openxmlformats.org/officeDocument/2006/relationships/hyperlink" Target="file:///\\uba\gruppen\III1.3\pub\&#220;berarbeitung%20Thermopapier\echa.europa.eu\de\registry-of-restriction-intentions\-\dislist\details\0b0236e1853413ea" TargetMode="External"/><Relationship Id="rId4" Type="http://schemas.openxmlformats.org/officeDocument/2006/relationships/hyperlink" Target="https://www.baua.de/DE/Angebote/Rechtstexte-und-Technische-Regeln/Regelwerk/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24CC1-8383-412F-BAA9-15C509844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3334</Words>
  <Characters>19010</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Pott, Antonia</cp:lastModifiedBy>
  <cp:revision>43</cp:revision>
  <cp:lastPrinted>2020-02-12T07:23:00Z</cp:lastPrinted>
  <dcterms:created xsi:type="dcterms:W3CDTF">2020-08-05T08:34:00Z</dcterms:created>
  <dcterms:modified xsi:type="dcterms:W3CDTF">2022-03-31T09:10:00Z</dcterms:modified>
</cp:coreProperties>
</file>