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5"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2126"/>
      </w:tblGrid>
      <w:tr w:rsidR="00731E02" w:rsidRPr="00F1664D" w14:paraId="651846A5" w14:textId="77777777" w:rsidTr="0087185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063E31E" w14:textId="77777777" w:rsidR="00731E02" w:rsidRPr="00853E69" w:rsidRDefault="00731E02" w:rsidP="0076668E">
            <w:pPr>
              <w:spacing w:line="360" w:lineRule="auto"/>
              <w:jc w:val="center"/>
              <w:rPr>
                <w:rFonts w:cs="Arial"/>
                <w:b/>
                <w:sz w:val="48"/>
                <w:szCs w:val="48"/>
              </w:rPr>
            </w:pPr>
            <w:r>
              <w:rPr>
                <w:b/>
                <w:sz w:val="48"/>
              </w:rPr>
              <w:t>Annex 1 to the contract</w:t>
            </w:r>
          </w:p>
          <w:p w14:paraId="230CD31D" w14:textId="77777777" w:rsidR="0005479E" w:rsidRPr="0005479E" w:rsidRDefault="00731E02" w:rsidP="000201F5">
            <w:pPr>
              <w:tabs>
                <w:tab w:val="left" w:pos="5670"/>
              </w:tabs>
              <w:jc w:val="center"/>
              <w:rPr>
                <w:rFonts w:cs="Arial"/>
                <w:b/>
              </w:rPr>
            </w:pPr>
            <w:r>
              <w:rPr>
                <w:b/>
              </w:rPr>
              <w:t>according to DE-UZ 223</w:t>
            </w:r>
            <w:r>
              <w:rPr>
                <w:b/>
              </w:rPr>
              <w:br/>
            </w:r>
            <w:r>
              <w:rPr>
                <w:b/>
              </w:rPr>
              <w:br/>
              <w:t>THIS ANNEX IS FOR: APPLICANTS</w:t>
            </w:r>
          </w:p>
        </w:tc>
        <w:tc>
          <w:tcPr>
            <w:tcW w:w="2126" w:type="dxa"/>
            <w:tcBorders>
              <w:top w:val="single" w:sz="4" w:space="0" w:color="auto"/>
              <w:left w:val="single" w:sz="4" w:space="0" w:color="auto"/>
              <w:bottom w:val="single" w:sz="4" w:space="0" w:color="auto"/>
              <w:right w:val="single" w:sz="4" w:space="0" w:color="auto"/>
            </w:tcBorders>
            <w:vAlign w:val="center"/>
          </w:tcPr>
          <w:p w14:paraId="3E0BC884" w14:textId="77777777"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14:paraId="6F5B07D9" w14:textId="77777777" w:rsidR="00731E02" w:rsidRPr="00F1664D" w:rsidRDefault="00731E02" w:rsidP="00731E02">
      <w:pPr>
        <w:tabs>
          <w:tab w:val="left" w:pos="5670"/>
        </w:tabs>
        <w:rPr>
          <w:rFonts w:cs="Arial"/>
        </w:rPr>
      </w:pPr>
    </w:p>
    <w:p w14:paraId="1248FCDB" w14:textId="77777777" w:rsidR="00A238F1" w:rsidRPr="00F1664D" w:rsidRDefault="00A238F1" w:rsidP="00731E02">
      <w:pPr>
        <w:tabs>
          <w:tab w:val="left" w:pos="5670"/>
        </w:tabs>
        <w:rPr>
          <w:rFonts w:cs="Arial"/>
        </w:rPr>
      </w:pPr>
    </w:p>
    <w:p w14:paraId="15191C20" w14:textId="77777777" w:rsidR="000201F5" w:rsidRDefault="000201F5" w:rsidP="00731E02">
      <w:pPr>
        <w:tabs>
          <w:tab w:val="left" w:pos="5670"/>
        </w:tabs>
        <w:rPr>
          <w:rFonts w:cs="Arial"/>
          <w:b/>
        </w:rPr>
      </w:pPr>
    </w:p>
    <w:p w14:paraId="7F58C4CC" w14:textId="77777777" w:rsidR="00731E02" w:rsidRPr="00F1664D" w:rsidRDefault="00731E02" w:rsidP="00731E02">
      <w:pPr>
        <w:tabs>
          <w:tab w:val="left" w:pos="5670"/>
        </w:tabs>
        <w:rPr>
          <w:rFonts w:cs="Arial"/>
          <w:b/>
        </w:rPr>
      </w:pPr>
      <w:r>
        <w:rPr>
          <w:b/>
        </w:rPr>
        <w:t>Environmental label for “Thermal paper”</w:t>
      </w:r>
    </w:p>
    <w:p w14:paraId="0B82C9C3" w14:textId="77777777" w:rsidR="00A238F1" w:rsidRPr="00F1664D" w:rsidRDefault="00A238F1" w:rsidP="00B25A65">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77"/>
        <w:gridCol w:w="992"/>
        <w:gridCol w:w="993"/>
        <w:gridCol w:w="2835"/>
        <w:gridCol w:w="2551"/>
      </w:tblGrid>
      <w:tr w:rsidR="00731E02" w:rsidRPr="00F1664D" w14:paraId="3A6FEFD0" w14:textId="77777777" w:rsidTr="002C3F22">
        <w:trPr>
          <w:trHeight w:hRule="exact" w:val="814"/>
        </w:trPr>
        <w:tc>
          <w:tcPr>
            <w:tcW w:w="4362" w:type="dxa"/>
            <w:gridSpan w:val="3"/>
            <w:shd w:val="clear" w:color="auto" w:fill="auto"/>
          </w:tcPr>
          <w:p w14:paraId="3382F6DD" w14:textId="77777777" w:rsidR="00731E02" w:rsidRPr="00F1664D" w:rsidRDefault="003C4396" w:rsidP="0076668E">
            <w:pPr>
              <w:spacing w:before="20" w:after="20"/>
              <w:rPr>
                <w:rFonts w:cs="Arial"/>
                <w:b/>
              </w:rPr>
            </w:pPr>
            <w:r>
              <w:rPr>
                <w:b/>
              </w:rPr>
              <w:t>Applicant (label holder):</w:t>
            </w:r>
          </w:p>
          <w:p w14:paraId="42453887" w14:textId="77777777" w:rsidR="00731E02" w:rsidRPr="00F1664D" w:rsidRDefault="00731E02" w:rsidP="0076668E">
            <w:pPr>
              <w:spacing w:before="20" w:after="20"/>
              <w:rPr>
                <w:rFonts w:cs="Arial"/>
                <w:sz w:val="18"/>
                <w:szCs w:val="18"/>
              </w:rPr>
            </w:pPr>
            <w:r>
              <w:rPr>
                <w:sz w:val="18"/>
              </w:rPr>
              <w:t>(full address)</w:t>
            </w:r>
          </w:p>
        </w:tc>
        <w:tc>
          <w:tcPr>
            <w:tcW w:w="5386" w:type="dxa"/>
            <w:gridSpan w:val="2"/>
            <w:shd w:val="clear" w:color="auto" w:fill="auto"/>
          </w:tcPr>
          <w:p w14:paraId="74966E61" w14:textId="77777777" w:rsidR="00731E02" w:rsidRDefault="00731E02" w:rsidP="0076668E">
            <w:pPr>
              <w:spacing w:before="20" w:after="20"/>
              <w:rPr>
                <w:rFonts w:cs="Arial"/>
                <w:b/>
              </w:rPr>
            </w:pPr>
            <w:r w:rsidRPr="00F1664D">
              <w:rPr>
                <w:rFonts w:cs="Arial"/>
                <w:b/>
              </w:rPr>
              <w:fldChar w:fldCharType="begin" w:fldLock="1">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Pr>
                <w:b/>
              </w:rPr>
              <w:t>     </w:t>
            </w:r>
            <w:r w:rsidRPr="00F1664D">
              <w:rPr>
                <w:rFonts w:cs="Arial"/>
                <w:b/>
              </w:rPr>
              <w:fldChar w:fldCharType="end"/>
            </w:r>
          </w:p>
          <w:p w14:paraId="4A156930" w14:textId="77777777" w:rsidR="002C3F22" w:rsidRDefault="002C3F22" w:rsidP="0076668E">
            <w:pPr>
              <w:spacing w:before="20" w:after="20"/>
              <w:rPr>
                <w:rFonts w:cs="Arial"/>
                <w:b/>
              </w:rPr>
            </w:pPr>
          </w:p>
          <w:p w14:paraId="32712A49" w14:textId="77777777" w:rsidR="002C3F22" w:rsidRPr="00F1664D" w:rsidRDefault="002C3F22" w:rsidP="0076668E">
            <w:pPr>
              <w:spacing w:before="20" w:after="20"/>
              <w:rPr>
                <w:rFonts w:cs="Arial"/>
                <w:b/>
              </w:rPr>
            </w:pPr>
          </w:p>
        </w:tc>
      </w:tr>
      <w:tr w:rsidR="00731E02" w:rsidRPr="00F1664D" w14:paraId="1B45FC25" w14:textId="77777777" w:rsidTr="003C4396">
        <w:tc>
          <w:tcPr>
            <w:tcW w:w="4362" w:type="dxa"/>
            <w:gridSpan w:val="3"/>
            <w:shd w:val="clear" w:color="auto" w:fill="auto"/>
          </w:tcPr>
          <w:p w14:paraId="734FC85D" w14:textId="77777777" w:rsidR="00731E02" w:rsidRPr="00F1664D" w:rsidRDefault="00F1664D" w:rsidP="0076668E">
            <w:pPr>
              <w:spacing w:before="20" w:after="20"/>
              <w:rPr>
                <w:rFonts w:cs="Arial"/>
                <w:b/>
              </w:rPr>
            </w:pPr>
            <w:r>
              <w:rPr>
                <w:b/>
              </w:rPr>
              <w:t>Contact for any questions:</w:t>
            </w:r>
          </w:p>
        </w:tc>
        <w:tc>
          <w:tcPr>
            <w:tcW w:w="5386" w:type="dxa"/>
            <w:gridSpan w:val="2"/>
            <w:shd w:val="clear" w:color="auto" w:fill="auto"/>
          </w:tcPr>
          <w:p w14:paraId="56C694C4" w14:textId="77777777" w:rsidR="00731E02" w:rsidRPr="00F1664D" w:rsidRDefault="00F1664D" w:rsidP="0076668E">
            <w:pPr>
              <w:spacing w:before="20" w:after="20"/>
              <w:rPr>
                <w:rFonts w:cs="Arial"/>
              </w:rPr>
            </w:pPr>
            <w:r>
              <w:rPr>
                <w:rFonts w:cs="Arial"/>
              </w:rPr>
              <w:fldChar w:fldCharType="begin" w:fldLock="1">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t>     </w:t>
            </w:r>
            <w:r>
              <w:rPr>
                <w:rFonts w:cs="Arial"/>
              </w:rPr>
              <w:fldChar w:fldCharType="end"/>
            </w:r>
            <w:bookmarkEnd w:id="0"/>
          </w:p>
        </w:tc>
      </w:tr>
      <w:tr w:rsidR="00F1664D" w:rsidRPr="00F1664D" w14:paraId="78B90261" w14:textId="77777777" w:rsidTr="003C4396">
        <w:tc>
          <w:tcPr>
            <w:tcW w:w="4362" w:type="dxa"/>
            <w:gridSpan w:val="3"/>
            <w:shd w:val="clear" w:color="auto" w:fill="auto"/>
          </w:tcPr>
          <w:p w14:paraId="66E6E238" w14:textId="77777777" w:rsidR="00F1664D" w:rsidRPr="00F1664D" w:rsidRDefault="00F1664D" w:rsidP="00F1664D">
            <w:pPr>
              <w:spacing w:before="20" w:after="20"/>
              <w:jc w:val="center"/>
              <w:rPr>
                <w:rFonts w:cs="Arial"/>
                <w:b/>
              </w:rPr>
            </w:pPr>
            <w:r>
              <w:rPr>
                <w:b/>
              </w:rPr>
              <w:t>E-mail address:</w:t>
            </w:r>
          </w:p>
        </w:tc>
        <w:tc>
          <w:tcPr>
            <w:tcW w:w="5386" w:type="dxa"/>
            <w:gridSpan w:val="2"/>
            <w:shd w:val="clear" w:color="auto" w:fill="auto"/>
          </w:tcPr>
          <w:p w14:paraId="428162D3" w14:textId="77777777" w:rsidR="00F1664D" w:rsidRPr="00F1664D" w:rsidRDefault="00F1664D" w:rsidP="0076668E">
            <w:pPr>
              <w:spacing w:before="20" w:after="20"/>
              <w:rPr>
                <w:rFonts w:cs="Arial"/>
              </w:rPr>
            </w:pPr>
            <w:r>
              <w:rPr>
                <w:rFonts w:cs="Arial"/>
              </w:rPr>
              <w:fldChar w:fldCharType="begin" w:fldLock="1">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t>     </w:t>
            </w:r>
            <w:r>
              <w:rPr>
                <w:rFonts w:cs="Arial"/>
              </w:rPr>
              <w:fldChar w:fldCharType="end"/>
            </w:r>
            <w:bookmarkEnd w:id="1"/>
          </w:p>
        </w:tc>
      </w:tr>
      <w:tr w:rsidR="00F1664D" w:rsidRPr="00F1664D" w14:paraId="29028C6A" w14:textId="77777777" w:rsidTr="003C4396">
        <w:tc>
          <w:tcPr>
            <w:tcW w:w="4362" w:type="dxa"/>
            <w:gridSpan w:val="3"/>
            <w:shd w:val="clear" w:color="auto" w:fill="auto"/>
          </w:tcPr>
          <w:p w14:paraId="6C9D393F" w14:textId="77777777" w:rsidR="00F1664D" w:rsidRPr="00F1664D" w:rsidRDefault="00F1664D" w:rsidP="00F1664D">
            <w:pPr>
              <w:spacing w:before="20" w:after="20"/>
              <w:jc w:val="center"/>
              <w:rPr>
                <w:rFonts w:cs="Arial"/>
                <w:b/>
              </w:rPr>
            </w:pPr>
            <w:r>
              <w:rPr>
                <w:b/>
              </w:rPr>
              <w:t>Telephone:</w:t>
            </w:r>
          </w:p>
        </w:tc>
        <w:tc>
          <w:tcPr>
            <w:tcW w:w="5386" w:type="dxa"/>
            <w:gridSpan w:val="2"/>
            <w:shd w:val="clear" w:color="auto" w:fill="auto"/>
          </w:tcPr>
          <w:p w14:paraId="66AA2962" w14:textId="77777777" w:rsidR="00F1664D" w:rsidRDefault="00F1664D" w:rsidP="0076668E">
            <w:pPr>
              <w:spacing w:before="20" w:after="20"/>
              <w:rPr>
                <w:rFonts w:cs="Arial"/>
              </w:rPr>
            </w:pPr>
            <w:r>
              <w:rPr>
                <w:rFonts w:cs="Arial"/>
              </w:rPr>
              <w:fldChar w:fldCharType="begin" w:fldLock="1">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t>     </w:t>
            </w:r>
            <w:r>
              <w:rPr>
                <w:rFonts w:cs="Arial"/>
              </w:rPr>
              <w:fldChar w:fldCharType="end"/>
            </w:r>
            <w:bookmarkEnd w:id="2"/>
          </w:p>
        </w:tc>
      </w:tr>
      <w:tr w:rsidR="00731E02" w:rsidRPr="00F1664D" w14:paraId="0FB0738E" w14:textId="77777777" w:rsidTr="00FF0489">
        <w:trPr>
          <w:trHeight w:val="571"/>
        </w:trPr>
        <w:tc>
          <w:tcPr>
            <w:tcW w:w="4362" w:type="dxa"/>
            <w:gridSpan w:val="3"/>
            <w:tcBorders>
              <w:bottom w:val="single" w:sz="4" w:space="0" w:color="auto"/>
            </w:tcBorders>
            <w:shd w:val="clear" w:color="auto" w:fill="auto"/>
          </w:tcPr>
          <w:p w14:paraId="61D182FE" w14:textId="77777777" w:rsidR="00731E02" w:rsidRPr="00F1664D" w:rsidRDefault="00296107" w:rsidP="0076668E">
            <w:pPr>
              <w:spacing w:before="20" w:after="20"/>
              <w:rPr>
                <w:rFonts w:cs="Arial"/>
                <w:b/>
              </w:rPr>
            </w:pPr>
            <w:r>
              <w:rPr>
                <w:b/>
              </w:rPr>
              <w:t>Trade name of the product:</w:t>
            </w:r>
          </w:p>
          <w:p w14:paraId="3D9B24DD" w14:textId="77777777" w:rsidR="00BC56EF" w:rsidRPr="00F1664D" w:rsidRDefault="00BC56EF" w:rsidP="00F1664D">
            <w:pPr>
              <w:spacing w:before="20" w:after="20"/>
              <w:rPr>
                <w:rFonts w:cs="Arial"/>
                <w:b/>
                <w:sz w:val="18"/>
                <w:szCs w:val="18"/>
              </w:rPr>
            </w:pPr>
          </w:p>
        </w:tc>
        <w:tc>
          <w:tcPr>
            <w:tcW w:w="5386" w:type="dxa"/>
            <w:gridSpan w:val="2"/>
            <w:tcBorders>
              <w:bottom w:val="single" w:sz="4" w:space="0" w:color="auto"/>
            </w:tcBorders>
            <w:shd w:val="clear" w:color="auto" w:fill="auto"/>
          </w:tcPr>
          <w:p w14:paraId="03E1FCEB" w14:textId="77777777" w:rsidR="00731E02" w:rsidRPr="00F1664D" w:rsidRDefault="00731E02" w:rsidP="0076668E">
            <w:pPr>
              <w:spacing w:before="20" w:after="20"/>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C35DEF" w:rsidRPr="00F1664D" w14:paraId="6B34807E" w14:textId="77777777" w:rsidTr="00FF0489">
        <w:trPr>
          <w:trHeight w:val="737"/>
        </w:trPr>
        <w:tc>
          <w:tcPr>
            <w:tcW w:w="4362" w:type="dxa"/>
            <w:gridSpan w:val="3"/>
            <w:tcBorders>
              <w:bottom w:val="single" w:sz="4" w:space="0" w:color="auto"/>
            </w:tcBorders>
            <w:shd w:val="clear" w:color="auto" w:fill="auto"/>
          </w:tcPr>
          <w:p w14:paraId="7F4DBA31" w14:textId="77777777" w:rsidR="00F01D1E" w:rsidRDefault="00C35DEF" w:rsidP="0076668E">
            <w:pPr>
              <w:spacing w:before="20" w:after="20"/>
              <w:rPr>
                <w:rFonts w:cs="Arial"/>
                <w:b/>
              </w:rPr>
            </w:pPr>
            <w:r>
              <w:rPr>
                <w:b/>
              </w:rPr>
              <w:t>Distributor (Label User):</w:t>
            </w:r>
          </w:p>
          <w:p w14:paraId="63ECDF10" w14:textId="77777777" w:rsidR="00C35DEF" w:rsidRDefault="00F01D1E" w:rsidP="0076668E">
            <w:pPr>
              <w:spacing w:before="20" w:after="20"/>
              <w:rPr>
                <w:rFonts w:cs="Arial"/>
                <w:b/>
              </w:rPr>
            </w:pPr>
            <w:r>
              <w:rPr>
                <w:sz w:val="18"/>
              </w:rPr>
              <w:t>(full address)</w:t>
            </w:r>
            <w:r>
              <w:rPr>
                <w:sz w:val="18"/>
              </w:rPr>
              <w:br/>
              <w:t>(the distributor using the label for advertising purposes)</w:t>
            </w:r>
          </w:p>
        </w:tc>
        <w:tc>
          <w:tcPr>
            <w:tcW w:w="5386" w:type="dxa"/>
            <w:gridSpan w:val="2"/>
            <w:tcBorders>
              <w:bottom w:val="single" w:sz="4" w:space="0" w:color="auto"/>
            </w:tcBorders>
            <w:shd w:val="clear" w:color="auto" w:fill="auto"/>
          </w:tcPr>
          <w:p w14:paraId="11364CFF" w14:textId="7E3D2568" w:rsidR="00C35DEF" w:rsidRPr="00F1664D" w:rsidRDefault="00F239F4" w:rsidP="0076668E">
            <w:pPr>
              <w:spacing w:before="20" w:after="20"/>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t> </w:t>
            </w:r>
            <w:r w:rsidRPr="00F1664D">
              <w:rPr>
                <w:rFonts w:cs="Arial"/>
              </w:rPr>
              <w:fldChar w:fldCharType="end"/>
            </w:r>
          </w:p>
        </w:tc>
      </w:tr>
      <w:tr w:rsidR="00FF0489" w:rsidRPr="00F1664D" w14:paraId="1B173CEC" w14:textId="77777777" w:rsidTr="00FF0489">
        <w:trPr>
          <w:trHeight w:val="737"/>
        </w:trPr>
        <w:tc>
          <w:tcPr>
            <w:tcW w:w="9748" w:type="dxa"/>
            <w:gridSpan w:val="5"/>
            <w:tcBorders>
              <w:top w:val="single" w:sz="4" w:space="0" w:color="auto"/>
              <w:left w:val="nil"/>
              <w:bottom w:val="nil"/>
              <w:right w:val="nil"/>
            </w:tcBorders>
            <w:shd w:val="clear" w:color="auto" w:fill="auto"/>
            <w:vAlign w:val="center"/>
          </w:tcPr>
          <w:p w14:paraId="583241E8" w14:textId="77777777" w:rsidR="00FF0489" w:rsidRPr="00F1664D" w:rsidRDefault="00FF0489" w:rsidP="00FF0489">
            <w:pPr>
              <w:spacing w:before="20" w:after="20"/>
              <w:rPr>
                <w:rFonts w:cs="Arial"/>
              </w:rPr>
            </w:pPr>
            <w:r>
              <w:rPr>
                <w:b/>
              </w:rPr>
              <w:t>The above named product is a:</w:t>
            </w:r>
          </w:p>
        </w:tc>
      </w:tr>
      <w:tr w:rsidR="00FF0489" w:rsidRPr="00F1664D" w14:paraId="58F0BA75" w14:textId="77777777" w:rsidTr="00F239F4">
        <w:trPr>
          <w:trHeight w:val="737"/>
        </w:trPr>
        <w:tc>
          <w:tcPr>
            <w:tcW w:w="2377" w:type="dxa"/>
            <w:tcBorders>
              <w:top w:val="nil"/>
              <w:left w:val="nil"/>
              <w:bottom w:val="nil"/>
              <w:right w:val="nil"/>
            </w:tcBorders>
            <w:shd w:val="clear" w:color="auto" w:fill="auto"/>
          </w:tcPr>
          <w:p w14:paraId="6588E2D4" w14:textId="77777777" w:rsidR="00FF0489" w:rsidRPr="004B7B3A" w:rsidRDefault="00FF0489" w:rsidP="00FF0489">
            <w:pPr>
              <w:rPr>
                <w:rFonts w:cs="Arial"/>
                <w:szCs w:val="22"/>
              </w:rPr>
            </w:pPr>
            <w:r>
              <w:t>Thermal paper</w:t>
            </w:r>
          </w:p>
        </w:tc>
        <w:tc>
          <w:tcPr>
            <w:tcW w:w="992" w:type="dxa"/>
            <w:tcBorders>
              <w:top w:val="nil"/>
              <w:left w:val="nil"/>
              <w:bottom w:val="nil"/>
              <w:right w:val="nil"/>
            </w:tcBorders>
            <w:shd w:val="clear" w:color="auto" w:fill="auto"/>
          </w:tcPr>
          <w:p w14:paraId="4F72C897" w14:textId="154DB587" w:rsidR="00FF0489" w:rsidRPr="004B7B3A" w:rsidRDefault="00FF0489" w:rsidP="00FF0489">
            <w:pPr>
              <w:rPr>
                <w:rFonts w:cs="Arial"/>
                <w:szCs w:val="22"/>
              </w:rPr>
            </w:pPr>
            <w:r w:rsidRPr="004B7B3A">
              <w:rPr>
                <w:rFonts w:cs="Arial"/>
              </w:rPr>
              <w:fldChar w:fldCharType="begin">
                <w:ffData>
                  <w:name w:val="Kontrollkästchen72"/>
                  <w:enabled/>
                  <w:calcOnExit w:val="0"/>
                  <w:checkBox>
                    <w:sizeAuto/>
                    <w:default w:val="0"/>
                    <w:checked w:val="0"/>
                  </w:checkBox>
                </w:ffData>
              </w:fldChar>
            </w:r>
            <w:bookmarkStart w:id="3" w:name="Kontrollkästchen72"/>
            <w:r w:rsidRPr="004B7B3A">
              <w:rPr>
                <w:rFonts w:cs="Arial"/>
              </w:rPr>
              <w:instrText xml:space="preserve"> FORMCHECKBOX </w:instrText>
            </w:r>
            <w:r w:rsidR="006E56E0">
              <w:rPr>
                <w:rFonts w:cs="Arial"/>
              </w:rPr>
            </w:r>
            <w:r w:rsidR="006E56E0">
              <w:rPr>
                <w:rFonts w:cs="Arial"/>
              </w:rPr>
              <w:fldChar w:fldCharType="separate"/>
            </w:r>
            <w:r w:rsidRPr="004B7B3A">
              <w:rPr>
                <w:rFonts w:cs="Arial"/>
              </w:rPr>
              <w:fldChar w:fldCharType="end"/>
            </w:r>
          </w:p>
        </w:tc>
        <w:bookmarkEnd w:id="3"/>
        <w:tc>
          <w:tcPr>
            <w:tcW w:w="3828" w:type="dxa"/>
            <w:gridSpan w:val="2"/>
            <w:tcBorders>
              <w:top w:val="nil"/>
              <w:left w:val="nil"/>
              <w:bottom w:val="nil"/>
              <w:right w:val="nil"/>
            </w:tcBorders>
            <w:shd w:val="clear" w:color="auto" w:fill="auto"/>
          </w:tcPr>
          <w:p w14:paraId="01862013" w14:textId="77777777" w:rsidR="00FF0489" w:rsidRPr="004B7B3A" w:rsidRDefault="00FF0489" w:rsidP="00FF0489">
            <w:pPr>
              <w:rPr>
                <w:rFonts w:cs="Arial"/>
                <w:szCs w:val="22"/>
              </w:rPr>
            </w:pPr>
            <w:r>
              <w:t>Finished product made of thermal paper</w:t>
            </w:r>
          </w:p>
        </w:tc>
        <w:tc>
          <w:tcPr>
            <w:tcW w:w="2551" w:type="dxa"/>
            <w:tcBorders>
              <w:top w:val="nil"/>
              <w:left w:val="nil"/>
              <w:bottom w:val="nil"/>
              <w:right w:val="nil"/>
            </w:tcBorders>
            <w:shd w:val="clear" w:color="auto" w:fill="auto"/>
          </w:tcPr>
          <w:p w14:paraId="11893CDE" w14:textId="77777777" w:rsidR="00FF0489" w:rsidRPr="004B7B3A" w:rsidRDefault="00FF0489" w:rsidP="00FF0489">
            <w:pPr>
              <w:rPr>
                <w:rFonts w:cs="Arial"/>
                <w:szCs w:val="22"/>
              </w:rPr>
            </w:pPr>
            <w:r w:rsidRPr="004B7B3A">
              <w:rPr>
                <w:rFonts w:cs="Arial"/>
              </w:rPr>
              <w:fldChar w:fldCharType="begin">
                <w:ffData>
                  <w:name w:val="Kontrollkästchen75"/>
                  <w:enabled/>
                  <w:calcOnExit w:val="0"/>
                  <w:checkBox>
                    <w:sizeAuto/>
                    <w:default w:val="0"/>
                  </w:checkBox>
                </w:ffData>
              </w:fldChar>
            </w:r>
            <w:bookmarkStart w:id="4" w:name="Kontrollkästchen75"/>
            <w:r w:rsidRPr="004B7B3A">
              <w:rPr>
                <w:rFonts w:cs="Arial"/>
              </w:rPr>
              <w:instrText xml:space="preserve"> FORMCHECKBOX </w:instrText>
            </w:r>
            <w:r w:rsidR="006E56E0">
              <w:rPr>
                <w:rFonts w:cs="Arial"/>
              </w:rPr>
            </w:r>
            <w:r w:rsidR="006E56E0">
              <w:rPr>
                <w:rFonts w:cs="Arial"/>
              </w:rPr>
              <w:fldChar w:fldCharType="separate"/>
            </w:r>
            <w:r w:rsidRPr="004B7B3A">
              <w:rPr>
                <w:rFonts w:cs="Arial"/>
              </w:rPr>
              <w:fldChar w:fldCharType="end"/>
            </w:r>
            <w:bookmarkEnd w:id="4"/>
          </w:p>
        </w:tc>
      </w:tr>
    </w:tbl>
    <w:p w14:paraId="262E0D7C" w14:textId="77777777" w:rsidR="00FF0489" w:rsidRPr="004B7B3A" w:rsidRDefault="00FF0489" w:rsidP="00FF0489">
      <w:pPr>
        <w:jc w:val="both"/>
        <w:rPr>
          <w:rFonts w:cs="Arial"/>
          <w:b/>
          <w:szCs w:val="22"/>
          <w:u w:val="single"/>
        </w:rPr>
      </w:pPr>
      <w:r>
        <w:rPr>
          <w:b/>
          <w:u w:val="single"/>
        </w:rPr>
        <w:t>Declarations by the applicant: Thermal Paper</w:t>
      </w:r>
    </w:p>
    <w:p w14:paraId="4FC80A4A" w14:textId="77777777" w:rsidR="00FF0489" w:rsidRPr="004B7B3A" w:rsidRDefault="00FF0489" w:rsidP="00FF0489">
      <w:pPr>
        <w:jc w:val="both"/>
        <w:rPr>
          <w:rFonts w:cs="Arial"/>
          <w:szCs w:val="22"/>
        </w:rPr>
      </w:pPr>
    </w:p>
    <w:p w14:paraId="483F9438" w14:textId="77777777" w:rsidR="0076549D" w:rsidRDefault="00FF0489" w:rsidP="001E0D08">
      <w:pPr>
        <w:jc w:val="both"/>
        <w:rPr>
          <w:rFonts w:cs="Arial"/>
          <w:szCs w:val="22"/>
        </w:rPr>
      </w:pPr>
      <w:r>
        <w:t xml:space="preserve">We hereby declare compliance with the following requirements                 </w:t>
      </w:r>
      <w:r w:rsidRPr="004B7B3A">
        <w:rPr>
          <w:rFonts w:cs="Arial"/>
        </w:rPr>
        <w:fldChar w:fldCharType="begin">
          <w:ffData>
            <w:name w:val="Kontrollkästchen79"/>
            <w:enabled/>
            <w:calcOnExit w:val="0"/>
            <w:checkBox>
              <w:sizeAuto/>
              <w:default w:val="0"/>
            </w:checkBox>
          </w:ffData>
        </w:fldChar>
      </w:r>
      <w:r w:rsidRPr="004B7B3A">
        <w:rPr>
          <w:rFonts w:cs="Arial"/>
        </w:rPr>
        <w:instrText xml:space="preserve"> FORMCHECKBOX </w:instrText>
      </w:r>
      <w:r w:rsidR="006E56E0">
        <w:rPr>
          <w:rFonts w:cs="Arial"/>
        </w:rPr>
      </w:r>
      <w:r w:rsidR="006E56E0">
        <w:rPr>
          <w:rFonts w:cs="Arial"/>
        </w:rPr>
        <w:fldChar w:fldCharType="separate"/>
      </w:r>
      <w:r w:rsidRPr="004B7B3A">
        <w:rPr>
          <w:rFonts w:cs="Arial"/>
        </w:rPr>
        <w:fldChar w:fldCharType="end"/>
      </w:r>
    </w:p>
    <w:p w14:paraId="4A26124B" w14:textId="77777777" w:rsidR="001E0D08" w:rsidRDefault="001E0D08" w:rsidP="001E0D08">
      <w:pPr>
        <w:jc w:val="both"/>
        <w:rPr>
          <w:rFonts w:cs="Arial"/>
        </w:rPr>
      </w:pPr>
    </w:p>
    <w:tbl>
      <w:tblPr>
        <w:tblStyle w:val="Tabellenraster"/>
        <w:tblW w:w="9776" w:type="dxa"/>
        <w:tblCellMar>
          <w:top w:w="57" w:type="dxa"/>
          <w:bottom w:w="57" w:type="dxa"/>
        </w:tblCellMar>
        <w:tblLook w:val="04A0" w:firstRow="1" w:lastRow="0" w:firstColumn="1" w:lastColumn="0" w:noHBand="0" w:noVBand="1"/>
      </w:tblPr>
      <w:tblGrid>
        <w:gridCol w:w="1413"/>
        <w:gridCol w:w="216"/>
        <w:gridCol w:w="1629"/>
        <w:gridCol w:w="1630"/>
        <w:gridCol w:w="1629"/>
        <w:gridCol w:w="1629"/>
        <w:gridCol w:w="1630"/>
      </w:tblGrid>
      <w:tr w:rsidR="00094869" w14:paraId="40745A1D" w14:textId="77777777" w:rsidTr="00D13A96">
        <w:tc>
          <w:tcPr>
            <w:tcW w:w="1413" w:type="dxa"/>
            <w:shd w:val="clear" w:color="auto" w:fill="D9D9D9" w:themeFill="background1" w:themeFillShade="D9"/>
          </w:tcPr>
          <w:p w14:paraId="31989AF1" w14:textId="77777777" w:rsidR="00094869" w:rsidRPr="00D13A96" w:rsidRDefault="003E6E99" w:rsidP="001E0D08">
            <w:pPr>
              <w:jc w:val="both"/>
              <w:rPr>
                <w:rFonts w:cs="Arial"/>
                <w:b/>
              </w:rPr>
            </w:pPr>
            <w:r>
              <w:rPr>
                <w:b/>
              </w:rPr>
              <w:t>Paragraph</w:t>
            </w:r>
          </w:p>
        </w:tc>
        <w:tc>
          <w:tcPr>
            <w:tcW w:w="8363" w:type="dxa"/>
            <w:gridSpan w:val="6"/>
            <w:shd w:val="clear" w:color="auto" w:fill="D9D9D9" w:themeFill="background1" w:themeFillShade="D9"/>
          </w:tcPr>
          <w:p w14:paraId="467CE545" w14:textId="77777777" w:rsidR="00094869" w:rsidRPr="00D13A96" w:rsidRDefault="003E6E99" w:rsidP="001E0D08">
            <w:pPr>
              <w:jc w:val="both"/>
              <w:rPr>
                <w:rFonts w:cs="Arial"/>
                <w:b/>
              </w:rPr>
            </w:pPr>
            <w:r>
              <w:rPr>
                <w:b/>
              </w:rPr>
              <w:t>Requirement</w:t>
            </w:r>
          </w:p>
        </w:tc>
      </w:tr>
      <w:tr w:rsidR="00094869" w14:paraId="4027D00B" w14:textId="77777777" w:rsidTr="00D13A96">
        <w:tc>
          <w:tcPr>
            <w:tcW w:w="1413" w:type="dxa"/>
            <w:shd w:val="clear" w:color="auto" w:fill="F2F2F2" w:themeFill="background1" w:themeFillShade="F2"/>
          </w:tcPr>
          <w:p w14:paraId="4AB1E067" w14:textId="77777777" w:rsidR="00094869" w:rsidRPr="00D13A96" w:rsidRDefault="00D13A96" w:rsidP="001E0D08">
            <w:pPr>
              <w:jc w:val="both"/>
              <w:rPr>
                <w:rFonts w:cs="Arial"/>
                <w:b/>
              </w:rPr>
            </w:pPr>
            <w:r>
              <w:rPr>
                <w:b/>
              </w:rPr>
              <w:t>3.1</w:t>
            </w:r>
          </w:p>
        </w:tc>
        <w:tc>
          <w:tcPr>
            <w:tcW w:w="8363" w:type="dxa"/>
            <w:gridSpan w:val="6"/>
            <w:shd w:val="clear" w:color="auto" w:fill="F2F2F2" w:themeFill="background1" w:themeFillShade="F2"/>
          </w:tcPr>
          <w:p w14:paraId="24FAAF67" w14:textId="77777777" w:rsidR="00094869" w:rsidRPr="00D13A96" w:rsidRDefault="00D13A96" w:rsidP="001E0D08">
            <w:pPr>
              <w:jc w:val="both"/>
              <w:rPr>
                <w:rFonts w:cs="Arial"/>
                <w:b/>
              </w:rPr>
            </w:pPr>
            <w:r>
              <w:rPr>
                <w:b/>
              </w:rPr>
              <w:t>Type of paper and structure of the thermal paper</w:t>
            </w:r>
          </w:p>
        </w:tc>
      </w:tr>
      <w:tr w:rsidR="00094869" w14:paraId="43D707D7" w14:textId="77777777" w:rsidTr="00D13A96">
        <w:tc>
          <w:tcPr>
            <w:tcW w:w="1413" w:type="dxa"/>
          </w:tcPr>
          <w:p w14:paraId="526516BA" w14:textId="77777777" w:rsidR="00094869" w:rsidRDefault="00094869" w:rsidP="001E0D08">
            <w:pPr>
              <w:jc w:val="both"/>
              <w:rPr>
                <w:rFonts w:cs="Arial"/>
              </w:rPr>
            </w:pPr>
          </w:p>
        </w:tc>
        <w:tc>
          <w:tcPr>
            <w:tcW w:w="8363" w:type="dxa"/>
            <w:gridSpan w:val="6"/>
          </w:tcPr>
          <w:p w14:paraId="0B25CA85" w14:textId="77777777" w:rsidR="00094869" w:rsidRPr="00D13A96" w:rsidRDefault="00D13A96" w:rsidP="00D13A96">
            <w:r>
              <w:t>The base paper must be paper with the sort key 01 60 30 05 “coating base paper, for SD paper, thermo paper, special office paper” based on the grade statistics from the German Pulp and Paper Association (Verband Deutscher Papierfabriken e.V. – VDP).</w:t>
            </w:r>
          </w:p>
        </w:tc>
      </w:tr>
      <w:tr w:rsidR="00094869" w14:paraId="7AC0D183" w14:textId="77777777" w:rsidTr="00C16C7F">
        <w:tc>
          <w:tcPr>
            <w:tcW w:w="1413" w:type="dxa"/>
            <w:shd w:val="clear" w:color="auto" w:fill="F2F2F2" w:themeFill="background1" w:themeFillShade="F2"/>
          </w:tcPr>
          <w:p w14:paraId="2B548D70" w14:textId="77777777" w:rsidR="00094869" w:rsidRPr="00C16C7F" w:rsidRDefault="00C16C7F" w:rsidP="001E0D08">
            <w:pPr>
              <w:jc w:val="both"/>
              <w:rPr>
                <w:rFonts w:cs="Arial"/>
                <w:b/>
              </w:rPr>
            </w:pPr>
            <w:r>
              <w:rPr>
                <w:b/>
              </w:rPr>
              <w:t>3.2</w:t>
            </w:r>
          </w:p>
        </w:tc>
        <w:tc>
          <w:tcPr>
            <w:tcW w:w="8363" w:type="dxa"/>
            <w:gridSpan w:val="6"/>
            <w:shd w:val="clear" w:color="auto" w:fill="F2F2F2" w:themeFill="background1" w:themeFillShade="F2"/>
          </w:tcPr>
          <w:p w14:paraId="65C2BC5B" w14:textId="3E119F4B" w:rsidR="00094869" w:rsidRPr="00C16C7F" w:rsidRDefault="00C16C7F" w:rsidP="001E0D08">
            <w:pPr>
              <w:jc w:val="both"/>
              <w:rPr>
                <w:rFonts w:cs="Arial"/>
                <w:b/>
              </w:rPr>
            </w:pPr>
            <w:r>
              <w:rPr>
                <w:b/>
              </w:rPr>
              <w:t>Requirements for the origin of the wood for the pulp</w:t>
            </w:r>
          </w:p>
        </w:tc>
      </w:tr>
      <w:tr w:rsidR="00094869" w14:paraId="075024FC" w14:textId="77777777" w:rsidTr="00D13A96">
        <w:tc>
          <w:tcPr>
            <w:tcW w:w="1413" w:type="dxa"/>
          </w:tcPr>
          <w:p w14:paraId="5232825A" w14:textId="77777777" w:rsidR="00094869" w:rsidRDefault="00094869" w:rsidP="001E0D08">
            <w:pPr>
              <w:jc w:val="both"/>
              <w:rPr>
                <w:rFonts w:cs="Arial"/>
              </w:rPr>
            </w:pPr>
          </w:p>
        </w:tc>
        <w:tc>
          <w:tcPr>
            <w:tcW w:w="8363" w:type="dxa"/>
            <w:gridSpan w:val="6"/>
          </w:tcPr>
          <w:p w14:paraId="76BFA8F5" w14:textId="77777777" w:rsidR="00094869" w:rsidRDefault="00617284" w:rsidP="0078760D">
            <w:r>
              <w:t>The fibrous raw materials used to produce the base paper must be sourced 100 % from certified fibres. The wood must be sourced from forests that can verify that they are managed in an ecological and socially responsible manner. Wood sourced from regional forestry businesses that remain close to nature also helps to avoid long transport routes, which have a negative ecological impact.</w:t>
            </w:r>
          </w:p>
          <w:p w14:paraId="31C1BF48" w14:textId="77777777" w:rsidR="0078760D" w:rsidRDefault="0078760D" w:rsidP="0078760D"/>
          <w:p w14:paraId="70D405CB" w14:textId="77777777" w:rsidR="0078760D" w:rsidRDefault="0078760D" w:rsidP="0078760D">
            <w:pPr>
              <w:rPr>
                <w:i/>
              </w:rPr>
            </w:pPr>
          </w:p>
          <w:p w14:paraId="10EF3862" w14:textId="77777777" w:rsidR="0078760D" w:rsidRDefault="0078760D" w:rsidP="0078760D">
            <w:pPr>
              <w:rPr>
                <w:i/>
              </w:rPr>
            </w:pPr>
          </w:p>
          <w:p w14:paraId="4452AFFD" w14:textId="77777777" w:rsidR="0078760D" w:rsidRDefault="0078760D" w:rsidP="0078760D">
            <w:pPr>
              <w:rPr>
                <w:i/>
              </w:rPr>
            </w:pPr>
          </w:p>
          <w:p w14:paraId="33365314" w14:textId="77777777" w:rsidR="0078760D" w:rsidRDefault="0078760D" w:rsidP="0078760D">
            <w:pPr>
              <w:rPr>
                <w:i/>
              </w:rPr>
            </w:pPr>
          </w:p>
          <w:p w14:paraId="461DFBC2" w14:textId="77777777" w:rsidR="0078760D" w:rsidRPr="0078760D" w:rsidRDefault="0078760D" w:rsidP="0078760D">
            <w:pPr>
              <w:rPr>
                <w:i/>
              </w:rPr>
            </w:pPr>
            <w:r>
              <w:rPr>
                <w:i/>
              </w:rPr>
              <w:lastRenderedPageBreak/>
              <w:t>Please state:</w:t>
            </w:r>
          </w:p>
        </w:tc>
      </w:tr>
      <w:tr w:rsidR="0078760D" w14:paraId="20568D22" w14:textId="77777777" w:rsidTr="000705AE">
        <w:tc>
          <w:tcPr>
            <w:tcW w:w="1629" w:type="dxa"/>
            <w:gridSpan w:val="2"/>
          </w:tcPr>
          <w:p w14:paraId="28A7936B" w14:textId="511F8542" w:rsidR="0078760D" w:rsidRPr="0078760D" w:rsidRDefault="0078760D" w:rsidP="0078760D">
            <w:pPr>
              <w:rPr>
                <w:rFonts w:cs="Arial"/>
                <w:b/>
                <w:sz w:val="18"/>
              </w:rPr>
            </w:pPr>
            <w:r>
              <w:rPr>
                <w:b/>
                <w:sz w:val="18"/>
              </w:rPr>
              <w:lastRenderedPageBreak/>
              <w:t>Trading name of the pulp</w:t>
            </w:r>
          </w:p>
        </w:tc>
        <w:tc>
          <w:tcPr>
            <w:tcW w:w="1629" w:type="dxa"/>
          </w:tcPr>
          <w:p w14:paraId="3FCF285E" w14:textId="77777777" w:rsidR="0078760D" w:rsidRPr="0078760D" w:rsidRDefault="0078760D" w:rsidP="0078760D">
            <w:pPr>
              <w:rPr>
                <w:rFonts w:cs="Arial"/>
                <w:b/>
                <w:sz w:val="18"/>
              </w:rPr>
            </w:pPr>
            <w:r>
              <w:rPr>
                <w:b/>
                <w:sz w:val="18"/>
              </w:rPr>
              <w:t>Certification system</w:t>
            </w:r>
          </w:p>
        </w:tc>
        <w:tc>
          <w:tcPr>
            <w:tcW w:w="1630" w:type="dxa"/>
          </w:tcPr>
          <w:p w14:paraId="094C7658" w14:textId="77777777" w:rsidR="0078760D" w:rsidRPr="0078760D" w:rsidRDefault="0078760D" w:rsidP="0078760D">
            <w:pPr>
              <w:rPr>
                <w:rFonts w:cs="Arial"/>
                <w:b/>
                <w:sz w:val="18"/>
              </w:rPr>
            </w:pPr>
            <w:r>
              <w:rPr>
                <w:b/>
                <w:sz w:val="18"/>
              </w:rPr>
              <w:t>Scientific name of the tree species</w:t>
            </w:r>
          </w:p>
        </w:tc>
        <w:tc>
          <w:tcPr>
            <w:tcW w:w="1629" w:type="dxa"/>
          </w:tcPr>
          <w:p w14:paraId="5564B96D" w14:textId="77777777" w:rsidR="0078760D" w:rsidRPr="0078760D" w:rsidRDefault="0078760D" w:rsidP="0078760D">
            <w:pPr>
              <w:rPr>
                <w:rFonts w:cs="Arial"/>
                <w:b/>
                <w:sz w:val="18"/>
              </w:rPr>
            </w:pPr>
            <w:r>
              <w:rPr>
                <w:b/>
                <w:sz w:val="18"/>
              </w:rPr>
              <w:t>Geographical location of the forest (country)</w:t>
            </w:r>
          </w:p>
        </w:tc>
        <w:tc>
          <w:tcPr>
            <w:tcW w:w="1629" w:type="dxa"/>
          </w:tcPr>
          <w:p w14:paraId="142A71ED" w14:textId="77777777" w:rsidR="0078760D" w:rsidRPr="0078760D" w:rsidRDefault="0078760D" w:rsidP="0078760D">
            <w:pPr>
              <w:rPr>
                <w:rFonts w:cs="Arial"/>
                <w:b/>
                <w:sz w:val="18"/>
              </w:rPr>
            </w:pPr>
            <w:r>
              <w:rPr>
                <w:b/>
                <w:sz w:val="18"/>
              </w:rPr>
              <w:t>Certificate number</w:t>
            </w:r>
          </w:p>
        </w:tc>
        <w:tc>
          <w:tcPr>
            <w:tcW w:w="1630" w:type="dxa"/>
          </w:tcPr>
          <w:p w14:paraId="3B615715" w14:textId="77777777" w:rsidR="0078760D" w:rsidRPr="0078760D" w:rsidRDefault="0078760D" w:rsidP="0078760D">
            <w:pPr>
              <w:rPr>
                <w:rFonts w:cs="Arial"/>
                <w:b/>
                <w:sz w:val="18"/>
              </w:rPr>
            </w:pPr>
            <w:r>
              <w:rPr>
                <w:b/>
                <w:sz w:val="18"/>
              </w:rPr>
              <w:t>Certification statement</w:t>
            </w:r>
          </w:p>
        </w:tc>
      </w:tr>
      <w:tr w:rsidR="0078760D" w14:paraId="7DCFA4EF" w14:textId="77777777" w:rsidTr="000705AE">
        <w:tc>
          <w:tcPr>
            <w:tcW w:w="1629" w:type="dxa"/>
            <w:gridSpan w:val="2"/>
          </w:tcPr>
          <w:p w14:paraId="33711649"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1470CC8F"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30" w:type="dxa"/>
          </w:tcPr>
          <w:p w14:paraId="46643BDA"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0E58F2FD"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056E90C1"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30" w:type="dxa"/>
          </w:tcPr>
          <w:p w14:paraId="7DB40278"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r>
      <w:tr w:rsidR="0078760D" w14:paraId="0B233C8D" w14:textId="77777777" w:rsidTr="000705AE">
        <w:tc>
          <w:tcPr>
            <w:tcW w:w="1629" w:type="dxa"/>
            <w:gridSpan w:val="2"/>
          </w:tcPr>
          <w:p w14:paraId="21F76208"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2A789477"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30" w:type="dxa"/>
          </w:tcPr>
          <w:p w14:paraId="6EE45E9D"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4A0E8E84"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2B7E43EF"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30" w:type="dxa"/>
          </w:tcPr>
          <w:p w14:paraId="2600E378"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r>
      <w:tr w:rsidR="0078760D" w14:paraId="7DF07FCF" w14:textId="77777777" w:rsidTr="000705AE">
        <w:tc>
          <w:tcPr>
            <w:tcW w:w="1629" w:type="dxa"/>
            <w:gridSpan w:val="2"/>
          </w:tcPr>
          <w:p w14:paraId="61D6AB69"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037AD236"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30" w:type="dxa"/>
          </w:tcPr>
          <w:p w14:paraId="19DF06C9"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1C140418"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46EDD39A"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30" w:type="dxa"/>
          </w:tcPr>
          <w:p w14:paraId="2CDB8E58"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r>
      <w:tr w:rsidR="0078760D" w14:paraId="13BEFF21" w14:textId="77777777" w:rsidTr="000705AE">
        <w:tc>
          <w:tcPr>
            <w:tcW w:w="1629" w:type="dxa"/>
            <w:gridSpan w:val="2"/>
          </w:tcPr>
          <w:p w14:paraId="0E643119"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34BC3A2A"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30" w:type="dxa"/>
          </w:tcPr>
          <w:p w14:paraId="34102BEF"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6B723F05"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29" w:type="dxa"/>
          </w:tcPr>
          <w:p w14:paraId="18E8A2CC"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c>
          <w:tcPr>
            <w:tcW w:w="1630" w:type="dxa"/>
          </w:tcPr>
          <w:p w14:paraId="2FBA28E1" w14:textId="77777777" w:rsidR="0078760D" w:rsidRPr="00821165" w:rsidRDefault="0078760D" w:rsidP="00617284">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r>
      <w:tr w:rsidR="00094869" w14:paraId="7DA5C3E9" w14:textId="77777777" w:rsidTr="00E528C1">
        <w:tc>
          <w:tcPr>
            <w:tcW w:w="1413" w:type="dxa"/>
            <w:shd w:val="clear" w:color="auto" w:fill="F2F2F2" w:themeFill="background1" w:themeFillShade="F2"/>
          </w:tcPr>
          <w:p w14:paraId="214E6217" w14:textId="77777777" w:rsidR="00094869" w:rsidRPr="00E528C1" w:rsidRDefault="00E528C1" w:rsidP="001E0D08">
            <w:pPr>
              <w:jc w:val="both"/>
              <w:rPr>
                <w:rFonts w:cs="Arial"/>
                <w:b/>
              </w:rPr>
            </w:pPr>
            <w:r>
              <w:rPr>
                <w:b/>
              </w:rPr>
              <w:t>3.3.2</w:t>
            </w:r>
          </w:p>
        </w:tc>
        <w:tc>
          <w:tcPr>
            <w:tcW w:w="8363" w:type="dxa"/>
            <w:gridSpan w:val="6"/>
            <w:shd w:val="clear" w:color="auto" w:fill="F2F2F2" w:themeFill="background1" w:themeFillShade="F2"/>
          </w:tcPr>
          <w:p w14:paraId="5715E2AC" w14:textId="4518D165" w:rsidR="00094869" w:rsidRPr="00E528C1" w:rsidRDefault="00E528C1" w:rsidP="001E0D08">
            <w:pPr>
              <w:jc w:val="both"/>
              <w:rPr>
                <w:rFonts w:cs="Arial"/>
                <w:b/>
              </w:rPr>
            </w:pPr>
            <w:r>
              <w:rPr>
                <w:b/>
              </w:rPr>
              <w:t>Emissions to waste water in the production of the pulp</w:t>
            </w:r>
          </w:p>
        </w:tc>
      </w:tr>
      <w:tr w:rsidR="00094869" w14:paraId="07704E2D" w14:textId="77777777" w:rsidTr="00D13A96">
        <w:tc>
          <w:tcPr>
            <w:tcW w:w="1413" w:type="dxa"/>
          </w:tcPr>
          <w:p w14:paraId="5B59C345" w14:textId="77777777" w:rsidR="00094869" w:rsidRDefault="00094869" w:rsidP="001E0D08">
            <w:pPr>
              <w:jc w:val="both"/>
              <w:rPr>
                <w:rFonts w:cs="Arial"/>
              </w:rPr>
            </w:pPr>
          </w:p>
        </w:tc>
        <w:tc>
          <w:tcPr>
            <w:tcW w:w="8363" w:type="dxa"/>
            <w:gridSpan w:val="6"/>
          </w:tcPr>
          <w:p w14:paraId="1DA51133" w14:textId="1823B23A" w:rsidR="00E528C1" w:rsidRDefault="00E528C1" w:rsidP="00E528C1">
            <w:r>
              <w:t xml:space="preserve">Strict requirements apply to the emissions to waste water during the production of the pulp used in the thermal paper. </w:t>
            </w:r>
            <w:r w:rsidR="00E052D3">
              <w:t>P</w:t>
            </w:r>
            <w:r>
              <w:t>ulp plants usually have their own waste water treatment plants and are thus direct dischargers. The applicant must determine the levels of the following chemical substances in the emissions to waste water at the pulp plant (measurement specifications, see Appendix C “Measurement of emissions to waste water”):</w:t>
            </w:r>
          </w:p>
          <w:p w14:paraId="609190EA" w14:textId="77777777" w:rsidR="00E528C1" w:rsidRPr="00E11F81" w:rsidRDefault="00E528C1" w:rsidP="00E528C1">
            <w:pPr>
              <w:pStyle w:val="AufzhlungPunkt1"/>
            </w:pPr>
            <w:r>
              <w:t>Chemical oxygen demand (COD) in kg O</w:t>
            </w:r>
            <w:r w:rsidRPr="00E11F81">
              <w:rPr>
                <w:rStyle w:val="Funotenzeichen"/>
              </w:rPr>
              <w:footnoteReference w:id="1"/>
            </w:r>
            <w:r>
              <w:t xml:space="preserve"> per air dry tonne</w:t>
            </w:r>
            <w:r w:rsidRPr="00E11F81">
              <w:rPr>
                <w:rStyle w:val="Funotenzeichen"/>
              </w:rPr>
              <w:footnoteReference w:id="2"/>
            </w:r>
            <w:r>
              <w:tab/>
            </w:r>
            <w:r>
              <w:br/>
              <w:t>Proportion of chemically oxidising organic compounds in the waste water (usually based on analyses using dichromate oxidation) given as O</w:t>
            </w:r>
          </w:p>
          <w:p w14:paraId="4B715479" w14:textId="77777777" w:rsidR="00E528C1" w:rsidRPr="00E11F81" w:rsidRDefault="00E528C1" w:rsidP="00E528C1">
            <w:pPr>
              <w:pStyle w:val="AufzhlungPunkt1"/>
            </w:pPr>
            <w:r>
              <w:t>Total nitrogen content in kg N per air dry tonne</w:t>
            </w:r>
            <w:r>
              <w:tab/>
            </w:r>
            <w:r>
              <w:br/>
              <w:t>Total-N (Total nitrogen, Tot-N), given as N. This includes organic nitrogen, free ammonia and ammonium (NH4+-N), nitrites (NO2--N) and nitrates (NO3--N).</w:t>
            </w:r>
          </w:p>
          <w:p w14:paraId="55C27C46" w14:textId="77777777" w:rsidR="00E528C1" w:rsidRDefault="00E528C1" w:rsidP="00E528C1">
            <w:pPr>
              <w:pStyle w:val="AufzhlungPunkt1"/>
            </w:pPr>
            <w:r>
              <w:t>Total phosphorous content in kg P per air dry tonne</w:t>
            </w:r>
            <w:r>
              <w:tab/>
            </w:r>
            <w:r>
              <w:br/>
              <w:t>Total-P (Tot-P), given as P. This includes both dissolved phosphorous and also undissolved phosphorous which enters the waste water in the form of precipitates or microorganisms.</w:t>
            </w:r>
          </w:p>
          <w:p w14:paraId="21266CDD" w14:textId="77777777" w:rsidR="00E528C1" w:rsidRDefault="00E528C1" w:rsidP="00E528C1">
            <w:pPr>
              <w:pStyle w:val="AufzhlungPunkt1"/>
              <w:numPr>
                <w:ilvl w:val="0"/>
                <w:numId w:val="0"/>
              </w:numPr>
              <w:ind w:left="426" w:hanging="426"/>
            </w:pPr>
          </w:p>
          <w:p w14:paraId="5A2B0F2F" w14:textId="77777777" w:rsidR="00E528C1" w:rsidRDefault="00E528C1" w:rsidP="00E528C1">
            <w:pPr>
              <w:pStyle w:val="AufzhlungPunkt1"/>
              <w:numPr>
                <w:ilvl w:val="0"/>
                <w:numId w:val="0"/>
              </w:numPr>
              <w:ind w:left="426" w:hanging="426"/>
            </w:pPr>
            <w:r>
              <w:t>The following reference values apply to the named substances:</w:t>
            </w:r>
          </w:p>
          <w:p w14:paraId="40F2610E" w14:textId="77777777" w:rsidR="00E528C1" w:rsidRPr="00BC0FAB" w:rsidRDefault="00E528C1" w:rsidP="00E528C1">
            <w:pPr>
              <w:pStyle w:val="Standardeingercktum0"/>
            </w:pPr>
            <w:r>
              <w:t>Chemical oxygen demand:</w:t>
            </w:r>
            <w:r>
              <w:tab/>
              <w:t>COD_reference = 18.00 kg O/air dry tonne</w:t>
            </w:r>
          </w:p>
          <w:p w14:paraId="2D822DE7" w14:textId="77777777" w:rsidR="00E528C1" w:rsidRPr="00BC0FAB" w:rsidRDefault="00E528C1" w:rsidP="00E528C1">
            <w:pPr>
              <w:pStyle w:val="Standardeingercktum0"/>
            </w:pPr>
            <w:r>
              <w:t>Total nitrogen content:</w:t>
            </w:r>
            <w:r>
              <w:tab/>
            </w:r>
            <w:r>
              <w:tab/>
              <w:t>N_reference = 0.25 kg N/air dry tonne</w:t>
            </w:r>
          </w:p>
          <w:p w14:paraId="7627CC42" w14:textId="77777777" w:rsidR="00E528C1" w:rsidRDefault="00E528C1" w:rsidP="00E528C1">
            <w:pPr>
              <w:pStyle w:val="Standardeingercktum0"/>
            </w:pPr>
            <w:r>
              <w:t>Total phosphorous content:</w:t>
            </w:r>
            <w:r>
              <w:tab/>
              <w:t>P_reference = 0.03 kg P/air dry tonne</w:t>
            </w:r>
          </w:p>
          <w:p w14:paraId="6FD3FBE8" w14:textId="77777777" w:rsidR="00E528C1" w:rsidRDefault="00E528C1" w:rsidP="00E528C1">
            <w:pPr>
              <w:pStyle w:val="Standardeingercktum0"/>
              <w:ind w:left="0"/>
            </w:pPr>
          </w:p>
          <w:p w14:paraId="3273DDE8" w14:textId="77777777" w:rsidR="00E528C1" w:rsidRDefault="00E528C1" w:rsidP="00E528C1">
            <w:pPr>
              <w:pStyle w:val="Standardeingercktum0"/>
              <w:ind w:left="0"/>
            </w:pPr>
            <w:r>
              <w:t>Based on the measurement values, the applicant must calculate so-called emission points (P) for each of the measured substances as a ratio between the measurement value and the reference value as follows:</w:t>
            </w:r>
          </w:p>
          <w:p w14:paraId="2214D30B" w14:textId="77777777" w:rsidR="00E528C1" w:rsidRDefault="00E528C1" w:rsidP="00E528C1"/>
          <w:p w14:paraId="13F10499" w14:textId="41503708" w:rsidR="00E528C1" w:rsidRPr="002E3F6E" w:rsidRDefault="006E56E0" w:rsidP="00E528C1">
            <m:oMathPara>
              <m:oMath>
                <m:sSub>
                  <m:sSubPr>
                    <m:ctrlPr>
                      <w:rPr>
                        <w:rFonts w:ascii="Cambria Math" w:hAnsi="Cambria Math"/>
                      </w:rPr>
                    </m:ctrlPr>
                  </m:sSubPr>
                  <m:e>
                    <m:r>
                      <w:rPr>
                        <w:rFonts w:ascii="Cambria Math" w:hAnsi="Cambria Math"/>
                      </w:rPr>
                      <m:t>P</m:t>
                    </m:r>
                  </m:e>
                  <m:sub>
                    <m:r>
                      <w:rPr>
                        <w:rFonts w:ascii="Cambria Math" w:hAnsi="Cambria Math"/>
                      </w:rPr>
                      <m:t>C</m:t>
                    </m:r>
                    <m:r>
                      <w:rPr>
                        <w:rFonts w:ascii="Cambria Math" w:hAnsi="Cambria Math"/>
                      </w:rPr>
                      <m:t>OD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t>
                        </m:r>
                        <m:r>
                          <w:rPr>
                            <w:rFonts w:ascii="Cambria Math" w:hAnsi="Cambria Math"/>
                          </w:rPr>
                          <m:t>OD</m:t>
                        </m:r>
                      </m:e>
                      <m:sub>
                        <m:r>
                          <w:rPr>
                            <w:rFonts w:ascii="Cambria Math" w:hAnsi="Cambria Math"/>
                          </w:rPr>
                          <m:t>measurement value</m:t>
                        </m:r>
                      </m:sub>
                    </m:sSub>
                  </m:num>
                  <m:den>
                    <m:sSub>
                      <m:sSubPr>
                        <m:ctrlPr>
                          <w:rPr>
                            <w:rFonts w:ascii="Cambria Math" w:hAnsi="Cambria Math"/>
                          </w:rPr>
                        </m:ctrlPr>
                      </m:sSubPr>
                      <m:e>
                        <m:r>
                          <w:rPr>
                            <w:rFonts w:ascii="Cambria Math" w:hAnsi="Cambria Math"/>
                          </w:rPr>
                          <m:t>C</m:t>
                        </m:r>
                        <m:r>
                          <w:rPr>
                            <w:rFonts w:ascii="Cambria Math" w:hAnsi="Cambria Math"/>
                          </w:rPr>
                          <m:t>OD</m:t>
                        </m:r>
                      </m:e>
                      <m:sub>
                        <m:r>
                          <w:rPr>
                            <w:rFonts w:ascii="Cambria Math" w:hAnsi="Cambria Math"/>
                          </w:rPr>
                          <m:t>reference value</m:t>
                        </m:r>
                      </m:sub>
                    </m:sSub>
                  </m:den>
                </m:f>
                <m:r>
                  <m:rPr>
                    <m:sty m:val="p"/>
                  </m:rPr>
                  <w:rPr>
                    <w:rFonts w:ascii="Cambria Math" w:hAnsi="Cambria Math"/>
                  </w:rPr>
                  <w:br/>
                </m:r>
              </m:oMath>
            </m:oMathPara>
          </w:p>
          <w:p w14:paraId="204A0C85" w14:textId="25965BF8" w:rsidR="00E528C1" w:rsidRPr="002E3F6E" w:rsidRDefault="006E56E0" w:rsidP="00E528C1">
            <m:oMathPara>
              <m:oMath>
                <m:sSub>
                  <m:sSubPr>
                    <m:ctrlPr>
                      <w:rPr>
                        <w:rFonts w:ascii="Cambria Math" w:hAnsi="Cambria Math"/>
                      </w:rPr>
                    </m:ctrlPr>
                  </m:sSubPr>
                  <m:e>
                    <m:r>
                      <w:rPr>
                        <w:rFonts w:ascii="Cambria Math" w:hAnsi="Cambria Math"/>
                      </w:rPr>
                      <m:t>P</m:t>
                    </m:r>
                  </m:e>
                  <m:sub>
                    <m:r>
                      <w:rPr>
                        <w:rFonts w:ascii="Cambria Math" w:hAnsi="Cambria Math"/>
                      </w:rPr>
                      <m:t>N</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measurement value</m:t>
                        </m:r>
                      </m:sub>
                    </m:sSub>
                  </m:num>
                  <m:den>
                    <m:sSub>
                      <m:sSubPr>
                        <m:ctrlPr>
                          <w:rPr>
                            <w:rFonts w:ascii="Cambria Math" w:hAnsi="Cambria Math"/>
                          </w:rPr>
                        </m:ctrlPr>
                      </m:sSubPr>
                      <m:e>
                        <m:r>
                          <w:rPr>
                            <w:rFonts w:ascii="Cambria Math" w:hAnsi="Cambria Math"/>
                          </w:rPr>
                          <m:t>N</m:t>
                        </m:r>
                      </m:e>
                      <m:sub>
                        <m:r>
                          <w:rPr>
                            <w:rFonts w:ascii="Cambria Math" w:hAnsi="Cambria Math"/>
                          </w:rPr>
                          <m:t>reference value</m:t>
                        </m:r>
                      </m:sub>
                    </m:sSub>
                  </m:den>
                </m:f>
                <m:r>
                  <m:rPr>
                    <m:sty m:val="p"/>
                  </m:rPr>
                  <w:rPr>
                    <w:rFonts w:ascii="Cambria Math" w:hAnsi="Cambria Math"/>
                  </w:rPr>
                  <w:br/>
                </m:r>
              </m:oMath>
            </m:oMathPara>
          </w:p>
          <w:p w14:paraId="53CF00DD" w14:textId="0EACF8B8" w:rsidR="00E528C1" w:rsidRPr="002E3F6E" w:rsidRDefault="006E56E0" w:rsidP="00E528C1">
            <m:oMathPara>
              <m:oMath>
                <m:sSub>
                  <m:sSubPr>
                    <m:ctrlPr>
                      <w:rPr>
                        <w:rFonts w:ascii="Cambria Math" w:hAnsi="Cambria Math"/>
                      </w:rPr>
                    </m:ctrlPr>
                  </m:sSubPr>
                  <m:e>
                    <m:r>
                      <w:rPr>
                        <w:rFonts w:ascii="Cambria Math" w:hAnsi="Cambria Math"/>
                      </w:rPr>
                      <m:t>P</m:t>
                    </m:r>
                  </m:e>
                  <m:sub>
                    <m:r>
                      <w:rPr>
                        <w:rFonts w:ascii="Cambria Math" w:hAnsi="Cambria Math"/>
                      </w:rPr>
                      <m:t>P</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measurement value</m:t>
                        </m:r>
                      </m:sub>
                    </m:sSub>
                  </m:num>
                  <m:den>
                    <m:sSub>
                      <m:sSubPr>
                        <m:ctrlPr>
                          <w:rPr>
                            <w:rFonts w:ascii="Cambria Math" w:hAnsi="Cambria Math"/>
                          </w:rPr>
                        </m:ctrlPr>
                      </m:sSubPr>
                      <m:e>
                        <m:r>
                          <w:rPr>
                            <w:rFonts w:ascii="Cambria Math" w:hAnsi="Cambria Math"/>
                          </w:rPr>
                          <m:t>P</m:t>
                        </m:r>
                      </m:e>
                      <m:sub>
                        <m:r>
                          <w:rPr>
                            <w:rFonts w:ascii="Cambria Math" w:hAnsi="Cambria Math"/>
                          </w:rPr>
                          <m:t>reference value</m:t>
                        </m:r>
                      </m:sub>
                    </m:sSub>
                  </m:den>
                </m:f>
              </m:oMath>
            </m:oMathPara>
          </w:p>
          <w:p w14:paraId="4761011E" w14:textId="77777777" w:rsidR="00E528C1" w:rsidRPr="002E3F6E" w:rsidRDefault="00E528C1" w:rsidP="00E528C1"/>
          <w:p w14:paraId="6F74A5C6" w14:textId="77777777" w:rsidR="006A150D" w:rsidRDefault="006A150D" w:rsidP="00E528C1"/>
          <w:p w14:paraId="6908A0E0" w14:textId="77777777" w:rsidR="00E528C1" w:rsidRDefault="00E528C1" w:rsidP="00E528C1">
            <w:r>
              <w:lastRenderedPageBreak/>
              <w:t>The following requirements apply:</w:t>
            </w:r>
          </w:p>
          <w:p w14:paraId="0B10ACA3" w14:textId="77777777" w:rsidR="006A150D" w:rsidRDefault="006A150D" w:rsidP="00E528C1"/>
          <w:p w14:paraId="19BB94FA" w14:textId="77777777" w:rsidR="00E528C1" w:rsidRDefault="00E528C1" w:rsidP="00E528C1">
            <w:r>
              <w:t>For each of the emission points P_COD, P_N and P_P, a value of 1.5 must not be exceed in each case and the sum of the emission points for the emissions to waste water (P_COD, P_N, and P_P) must not exceed a value of 3.0.</w:t>
            </w:r>
          </w:p>
          <w:p w14:paraId="4C4EF14B" w14:textId="77777777" w:rsidR="00E528C1" w:rsidRPr="00A7517B" w:rsidRDefault="00E528C1" w:rsidP="00E528C1"/>
          <w:p w14:paraId="0B8BA61D" w14:textId="77777777" w:rsidR="00094869" w:rsidRDefault="00E528C1" w:rsidP="00E528C1">
            <w:pPr>
              <w:jc w:val="both"/>
              <w:rPr>
                <w:rFonts w:cs="Arial"/>
              </w:rPr>
            </w:pPr>
            <w:r>
              <w:t>In addition, the AOX value in the waste water must also be determined.</w:t>
            </w:r>
          </w:p>
        </w:tc>
      </w:tr>
      <w:tr w:rsidR="00E528C1" w14:paraId="0D10D5B3" w14:textId="77777777" w:rsidTr="00E528C1">
        <w:tc>
          <w:tcPr>
            <w:tcW w:w="1413" w:type="dxa"/>
            <w:shd w:val="clear" w:color="auto" w:fill="F2F2F2" w:themeFill="background1" w:themeFillShade="F2"/>
          </w:tcPr>
          <w:p w14:paraId="7A73CB31" w14:textId="77777777" w:rsidR="00E528C1" w:rsidRPr="00E528C1" w:rsidRDefault="00E528C1" w:rsidP="001E0D08">
            <w:pPr>
              <w:jc w:val="both"/>
              <w:rPr>
                <w:rFonts w:cs="Arial"/>
                <w:b/>
              </w:rPr>
            </w:pPr>
            <w:r>
              <w:rPr>
                <w:b/>
              </w:rPr>
              <w:lastRenderedPageBreak/>
              <w:t>3.3.3</w:t>
            </w:r>
          </w:p>
        </w:tc>
        <w:tc>
          <w:tcPr>
            <w:tcW w:w="8363" w:type="dxa"/>
            <w:gridSpan w:val="6"/>
            <w:shd w:val="clear" w:color="auto" w:fill="F2F2F2" w:themeFill="background1" w:themeFillShade="F2"/>
          </w:tcPr>
          <w:p w14:paraId="47471581" w14:textId="2C79227A" w:rsidR="00E528C1" w:rsidRPr="00E528C1" w:rsidRDefault="00E528C1" w:rsidP="001E0D08">
            <w:pPr>
              <w:jc w:val="both"/>
              <w:rPr>
                <w:rFonts w:cs="Arial"/>
                <w:b/>
              </w:rPr>
            </w:pPr>
            <w:r>
              <w:rPr>
                <w:b/>
              </w:rPr>
              <w:t>Emissions to air in the production of the pulp</w:t>
            </w:r>
          </w:p>
        </w:tc>
      </w:tr>
      <w:tr w:rsidR="00E528C1" w14:paraId="04E7E7D0" w14:textId="77777777" w:rsidTr="00D13A96">
        <w:tc>
          <w:tcPr>
            <w:tcW w:w="1413" w:type="dxa"/>
          </w:tcPr>
          <w:p w14:paraId="59E2F3B7" w14:textId="77777777" w:rsidR="00E528C1" w:rsidRDefault="00E528C1" w:rsidP="001E0D08">
            <w:pPr>
              <w:jc w:val="both"/>
              <w:rPr>
                <w:rFonts w:cs="Arial"/>
              </w:rPr>
            </w:pPr>
          </w:p>
        </w:tc>
        <w:tc>
          <w:tcPr>
            <w:tcW w:w="8363" w:type="dxa"/>
            <w:gridSpan w:val="6"/>
          </w:tcPr>
          <w:p w14:paraId="72AC9C74" w14:textId="4C3C5BB6" w:rsidR="00E528C1" w:rsidRDefault="00E528C1" w:rsidP="00E528C1">
            <w:r>
              <w:t>Strict requirements apply to the emissions to air during the production of the pulp used in the thermal paper. The emissions to air include those from the recovery boiler, lime kiln, steam boiler and incinerator for strong smelling gases. Diffuse emissions must also be taken into account. The applicant must determine the levels of the following chemical substances in the emissions to air at the pulp plant (measurement specifications, see Appendix D “Measurement of emissions to air”):</w:t>
            </w:r>
          </w:p>
          <w:p w14:paraId="62FAFA56" w14:textId="77777777" w:rsidR="00E528C1" w:rsidRDefault="00E528C1" w:rsidP="00E528C1">
            <w:pPr>
              <w:pStyle w:val="AufzhlungPunkt1"/>
            </w:pPr>
            <w:r>
              <w:t>Gaseous sulphur compounds (sulphur) in kg S per air dry tonne</w:t>
            </w:r>
          </w:p>
          <w:p w14:paraId="51629A2B" w14:textId="42973A45" w:rsidR="00E528C1" w:rsidRPr="00057405" w:rsidRDefault="00E528C1" w:rsidP="00E528C1">
            <w:pPr>
              <w:pStyle w:val="Standardeingercktum0"/>
            </w:pPr>
            <w:r>
              <w:t>Total reduced sulphur (TRS): Sum of the following reduced bad-smelling sulphur compounds released during the production of the pulp: hydrogen sulphide, methyl mercaptan, dimethyl sulphide and dimethyl disulfide, given as S, plus sulphur dioxide (SO</w:t>
            </w:r>
            <w:r>
              <w:rPr>
                <w:rStyle w:val="Tiefgestellt"/>
              </w:rPr>
              <w:t>2</w:t>
            </w:r>
            <w:r>
              <w:t>), given as S</w:t>
            </w:r>
          </w:p>
          <w:p w14:paraId="4EC15729" w14:textId="77777777" w:rsidR="00E528C1" w:rsidRDefault="00E528C1" w:rsidP="00E528C1">
            <w:pPr>
              <w:pStyle w:val="AufzhlungPunkt1"/>
            </w:pPr>
            <w:r>
              <w:t>Nitrogen oxide (NO</w:t>
            </w:r>
            <w:r>
              <w:rPr>
                <w:rStyle w:val="Tiefgestellt"/>
              </w:rPr>
              <w:t>x</w:t>
            </w:r>
            <w:r>
              <w:t>) in Kg NO</w:t>
            </w:r>
            <w:r>
              <w:rPr>
                <w:rStyle w:val="Tiefgestellt"/>
              </w:rPr>
              <w:t>x</w:t>
            </w:r>
            <w:r>
              <w:t xml:space="preserve"> per air dry tonne </w:t>
            </w:r>
          </w:p>
          <w:p w14:paraId="6A399D2E" w14:textId="77777777" w:rsidR="00E528C1" w:rsidRPr="00057405" w:rsidRDefault="00E528C1" w:rsidP="00E528C1">
            <w:pPr>
              <w:pStyle w:val="AufzhlungPunkt1"/>
              <w:numPr>
                <w:ilvl w:val="0"/>
                <w:numId w:val="0"/>
              </w:numPr>
              <w:ind w:left="426"/>
            </w:pPr>
            <w:r>
              <w:t>Sum of nitrogen oxide (NO) and nitrogen dioxide (NO</w:t>
            </w:r>
            <w:r>
              <w:rPr>
                <w:rStyle w:val="Tiefgestellt"/>
              </w:rPr>
              <w:t>2</w:t>
            </w:r>
            <w:r>
              <w:t>), given as NO</w:t>
            </w:r>
            <w:r>
              <w:rPr>
                <w:rStyle w:val="Tiefgestellt"/>
              </w:rPr>
              <w:t>2</w:t>
            </w:r>
          </w:p>
          <w:p w14:paraId="3F4FCD05" w14:textId="77777777" w:rsidR="00E528C1" w:rsidRDefault="00E528C1" w:rsidP="00E528C1">
            <w:pPr>
              <w:pStyle w:val="AufzhlungPunkt1"/>
            </w:pPr>
            <w:r>
              <w:t>Dust emissions (dust) in kg dust per air dry tonne</w:t>
            </w:r>
          </w:p>
          <w:p w14:paraId="73791473" w14:textId="77777777" w:rsidR="00E528C1" w:rsidRDefault="00E528C1" w:rsidP="00E528C1">
            <w:pPr>
              <w:pStyle w:val="Standardeingercktum0"/>
            </w:pPr>
            <w:r>
              <w:t xml:space="preserve">Sum of the dust emissions at the recovery boiler and lime kiln, given as dust </w:t>
            </w:r>
            <w:bookmarkStart w:id="5" w:name="_Hlk56414553"/>
            <w:r>
              <w:t>Solid particles of any form, structure or thickness that are dispersed during the gas phase and remain upstream of a defined filter after drying under specified conditions. According to DIN EN 13284 - 1</w:t>
            </w:r>
            <w:bookmarkEnd w:id="5"/>
          </w:p>
          <w:p w14:paraId="0712859A" w14:textId="77777777" w:rsidR="00E528C1" w:rsidRDefault="00E528C1" w:rsidP="00E528C1">
            <w:pPr>
              <w:pStyle w:val="Standardeingercktum0"/>
              <w:ind w:left="0"/>
            </w:pPr>
          </w:p>
          <w:p w14:paraId="6C9C284E" w14:textId="77777777" w:rsidR="00E528C1" w:rsidRDefault="00E528C1" w:rsidP="00E528C1">
            <w:r>
              <w:t>The following reference values apply to the named substances:</w:t>
            </w:r>
          </w:p>
          <w:p w14:paraId="3DC31D7D" w14:textId="77777777" w:rsidR="00E528C1" w:rsidRPr="00981B93" w:rsidRDefault="00E528C1" w:rsidP="00E528C1">
            <w:pPr>
              <w:pStyle w:val="AufzhlungPunkt1"/>
            </w:pPr>
            <w:r>
              <w:t>Gaseous sulphur compounds:</w:t>
            </w:r>
            <w:r>
              <w:tab/>
              <w:t>Sulphur</w:t>
            </w:r>
            <w:r>
              <w:rPr>
                <w:rStyle w:val="Tiefgestellt"/>
              </w:rPr>
              <w:t>Reference</w:t>
            </w:r>
            <w:r>
              <w:t xml:space="preserve"> = 0.6 kg S/air dry tonne</w:t>
            </w:r>
          </w:p>
          <w:p w14:paraId="014F26A5" w14:textId="64BE74EF" w:rsidR="00E528C1" w:rsidRDefault="00E528C1" w:rsidP="00E528C1">
            <w:pPr>
              <w:pStyle w:val="AufzhlungPunkt1"/>
            </w:pPr>
            <w:r>
              <w:t>Nitrogen oxide:</w:t>
            </w:r>
            <w:r>
              <w:tab/>
            </w:r>
            <w:r>
              <w:tab/>
            </w:r>
            <w:r>
              <w:tab/>
              <w:t>NO</w:t>
            </w:r>
            <w:r>
              <w:rPr>
                <w:rStyle w:val="Tiefgestellt"/>
              </w:rPr>
              <w:t>xReference</w:t>
            </w:r>
            <w:r>
              <w:t xml:space="preserve"> = 1.5 kg NO/air dry tonne</w:t>
            </w:r>
          </w:p>
          <w:p w14:paraId="548A4070" w14:textId="77777777" w:rsidR="00E528C1" w:rsidRDefault="00E528C1" w:rsidP="00E528C1">
            <w:pPr>
              <w:pStyle w:val="AufzhlungPunkt1"/>
              <w:numPr>
                <w:ilvl w:val="0"/>
                <w:numId w:val="0"/>
              </w:numPr>
            </w:pPr>
          </w:p>
          <w:p w14:paraId="56D6E0E1" w14:textId="77777777" w:rsidR="00E528C1" w:rsidRDefault="00E528C1" w:rsidP="00E528C1">
            <w:r>
              <w:t>Based on the measurement values, the applicant must calculate so-called emission points (P) for each of the measured substances as a ratio between the measurement value and the reference value as follows:</w:t>
            </w:r>
          </w:p>
          <w:p w14:paraId="0C7DF507" w14:textId="77777777" w:rsidR="00E528C1" w:rsidRDefault="00E528C1" w:rsidP="00E528C1"/>
          <w:p w14:paraId="572DC67D" w14:textId="61E0D270" w:rsidR="00E528C1" w:rsidRPr="00981B93" w:rsidRDefault="006E56E0" w:rsidP="00E528C1">
            <m:oMathPara>
              <m:oMath>
                <m:sSub>
                  <m:sSubPr>
                    <m:ctrlPr>
                      <w:rPr>
                        <w:rFonts w:ascii="Cambria Math" w:hAnsi="Cambria Math"/>
                      </w:rPr>
                    </m:ctrlPr>
                  </m:sSubPr>
                  <m:e>
                    <m:r>
                      <w:rPr>
                        <w:rFonts w:ascii="Cambria Math" w:hAnsi="Cambria Math"/>
                      </w:rPr>
                      <m:t>P</m:t>
                    </m:r>
                  </m:e>
                  <m:sub>
                    <m:r>
                      <w:rPr>
                        <w:rFonts w:ascii="Cambria Math" w:hAnsi="Cambria Math"/>
                      </w:rPr>
                      <m:t>Sulphur</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Sulphur</m:t>
                        </m:r>
                      </m:e>
                      <m:sub>
                        <m:r>
                          <w:rPr>
                            <w:rFonts w:ascii="Cambria Math" w:hAnsi="Cambria Math"/>
                          </w:rPr>
                          <m:t>measurement value</m:t>
                        </m:r>
                      </m:sub>
                    </m:sSub>
                  </m:num>
                  <m:den>
                    <m:sSub>
                      <m:sSubPr>
                        <m:ctrlPr>
                          <w:rPr>
                            <w:rFonts w:ascii="Cambria Math" w:hAnsi="Cambria Math"/>
                          </w:rPr>
                        </m:ctrlPr>
                      </m:sSubPr>
                      <m:e>
                        <m:r>
                          <w:rPr>
                            <w:rFonts w:ascii="Cambria Math" w:hAnsi="Cambria Math"/>
                          </w:rPr>
                          <m:t>S</m:t>
                        </m:r>
                        <m:r>
                          <w:rPr>
                            <w:rFonts w:ascii="Cambria Math" w:hAnsi="Cambria Math"/>
                          </w:rPr>
                          <m:t>ulphur</m:t>
                        </m:r>
                      </m:e>
                      <m:sub>
                        <m:r>
                          <w:rPr>
                            <w:rFonts w:ascii="Cambria Math" w:hAnsi="Cambria Math"/>
                          </w:rPr>
                          <m:t>reference value</m:t>
                        </m:r>
                      </m:sub>
                    </m:sSub>
                  </m:den>
                </m:f>
                <m:r>
                  <m:rPr>
                    <m:sty m:val="p"/>
                  </m:rPr>
                  <w:rPr>
                    <w:rFonts w:ascii="Cambria Math" w:hAnsi="Cambria Math"/>
                  </w:rPr>
                  <w:br/>
                </m:r>
              </m:oMath>
            </m:oMathPara>
          </w:p>
          <w:p w14:paraId="1224850D" w14:textId="604D29ED" w:rsidR="00E528C1" w:rsidRPr="00981B93" w:rsidRDefault="006E56E0" w:rsidP="00E528C1">
            <m:oMathPara>
              <m:oMath>
                <m:sSub>
                  <m:sSubPr>
                    <m:ctrlPr>
                      <w:rPr>
                        <w:rFonts w:ascii="Cambria Math" w:hAnsi="Cambria Math"/>
                      </w:rPr>
                    </m:ctrlPr>
                  </m:sSubPr>
                  <m:e>
                    <m:r>
                      <w:rPr>
                        <w:rFonts w:ascii="Cambria Math" w:hAnsi="Cambria Math"/>
                      </w:rPr>
                      <m:t>P</m:t>
                    </m:r>
                  </m:e>
                  <m:sub>
                    <m:r>
                      <w:rPr>
                        <w:rFonts w:ascii="Cambria Math" w:hAnsi="Cambria Math"/>
                      </w:rPr>
                      <m:t>NOx</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NOx</m:t>
                        </m:r>
                      </m:e>
                      <m:sub>
                        <m:r>
                          <w:rPr>
                            <w:rFonts w:ascii="Cambria Math" w:hAnsi="Cambria Math"/>
                          </w:rPr>
                          <m:t>measurement value</m:t>
                        </m:r>
                      </m:sub>
                    </m:sSub>
                  </m:num>
                  <m:den>
                    <m:sSub>
                      <m:sSubPr>
                        <m:ctrlPr>
                          <w:rPr>
                            <w:rFonts w:ascii="Cambria Math" w:hAnsi="Cambria Math"/>
                          </w:rPr>
                        </m:ctrlPr>
                      </m:sSubPr>
                      <m:e>
                        <m:r>
                          <w:rPr>
                            <w:rFonts w:ascii="Cambria Math" w:hAnsi="Cambria Math"/>
                          </w:rPr>
                          <m:t>NOx</m:t>
                        </m:r>
                      </m:e>
                      <m:sub>
                        <m:r>
                          <w:rPr>
                            <w:rFonts w:ascii="Cambria Math" w:hAnsi="Cambria Math"/>
                          </w:rPr>
                          <m:t>reference value</m:t>
                        </m:r>
                      </m:sub>
                    </m:sSub>
                  </m:den>
                </m:f>
              </m:oMath>
            </m:oMathPara>
          </w:p>
          <w:p w14:paraId="1E10FCD2" w14:textId="77777777" w:rsidR="00E528C1" w:rsidRPr="00981B93" w:rsidRDefault="00E528C1" w:rsidP="00E528C1"/>
          <w:p w14:paraId="0CBFC781" w14:textId="77777777" w:rsidR="00E528C1" w:rsidRDefault="00E528C1" w:rsidP="00E528C1">
            <w:r>
              <w:t>The following requirements apply:</w:t>
            </w:r>
          </w:p>
          <w:p w14:paraId="345550B8" w14:textId="77777777" w:rsidR="00E528C1" w:rsidRDefault="00E528C1" w:rsidP="00E528C1"/>
          <w:p w14:paraId="480666CE" w14:textId="77777777" w:rsidR="00E528C1" w:rsidRPr="00542576" w:rsidRDefault="00E528C1" w:rsidP="00E528C1">
            <w:r>
              <w:t>For each of the emission points P</w:t>
            </w:r>
            <w:r>
              <w:rPr>
                <w:rStyle w:val="Tiefgestellt"/>
              </w:rPr>
              <w:t>Sulphur</w:t>
            </w:r>
            <w:r>
              <w:t xml:space="preserve"> and P</w:t>
            </w:r>
            <w:r>
              <w:rPr>
                <w:rStyle w:val="Tiefgestellt"/>
              </w:rPr>
              <w:t>NOx</w:t>
            </w:r>
            <w:r>
              <w:t>, a value of 1.5 must not be exceed in each case and the sum of the emission points for the emissions to air (P</w:t>
            </w:r>
            <w:r>
              <w:rPr>
                <w:rStyle w:val="Tiefgestellt"/>
              </w:rPr>
              <w:t>Sulphur</w:t>
            </w:r>
            <w:r>
              <w:t xml:space="preserve"> and P</w:t>
            </w:r>
            <w:r>
              <w:rPr>
                <w:rStyle w:val="Tiefgestellt"/>
              </w:rPr>
              <w:t>NOx</w:t>
            </w:r>
            <w:r>
              <w:t>) must not exceed a value of 2.0.</w:t>
            </w:r>
          </w:p>
          <w:p w14:paraId="38A2BD03" w14:textId="77777777" w:rsidR="00E528C1" w:rsidRPr="00542576" w:rsidRDefault="00E528C1" w:rsidP="00E528C1"/>
          <w:p w14:paraId="141C0C78" w14:textId="77777777" w:rsidR="00602B0C" w:rsidRDefault="00E528C1" w:rsidP="00E528C1">
            <w:r>
              <w:t>Dust emissions must not exceed the limit value of 0.33 kg dust/air dry tonne.</w:t>
            </w:r>
          </w:p>
          <w:p w14:paraId="7985DB60" w14:textId="77777777" w:rsidR="00A81C71" w:rsidRDefault="00A81C71" w:rsidP="00E528C1"/>
          <w:p w14:paraId="25ED017B" w14:textId="77777777" w:rsidR="00A81C71" w:rsidRDefault="00A81C71" w:rsidP="00E528C1"/>
          <w:p w14:paraId="5639DD34" w14:textId="1F3DEE55" w:rsidR="00A81C71" w:rsidRPr="00E528C1" w:rsidRDefault="00A81C71" w:rsidP="00E528C1"/>
        </w:tc>
      </w:tr>
      <w:tr w:rsidR="00E528C1" w14:paraId="5103383C" w14:textId="77777777" w:rsidTr="00E528C1">
        <w:tc>
          <w:tcPr>
            <w:tcW w:w="1413" w:type="dxa"/>
            <w:shd w:val="clear" w:color="auto" w:fill="F2F2F2" w:themeFill="background1" w:themeFillShade="F2"/>
          </w:tcPr>
          <w:p w14:paraId="4FB4DAD2" w14:textId="77777777" w:rsidR="00E528C1" w:rsidRPr="00E528C1" w:rsidRDefault="00E528C1" w:rsidP="001E0D08">
            <w:pPr>
              <w:jc w:val="both"/>
              <w:rPr>
                <w:rFonts w:cs="Arial"/>
                <w:b/>
              </w:rPr>
            </w:pPr>
            <w:r>
              <w:rPr>
                <w:b/>
              </w:rPr>
              <w:lastRenderedPageBreak/>
              <w:t>3.3.4</w:t>
            </w:r>
          </w:p>
        </w:tc>
        <w:tc>
          <w:tcPr>
            <w:tcW w:w="8363" w:type="dxa"/>
            <w:gridSpan w:val="6"/>
            <w:shd w:val="clear" w:color="auto" w:fill="F2F2F2" w:themeFill="background1" w:themeFillShade="F2"/>
          </w:tcPr>
          <w:p w14:paraId="683B9655" w14:textId="4C790673" w:rsidR="00E528C1" w:rsidRPr="00E528C1" w:rsidRDefault="00E528C1" w:rsidP="001E0D08">
            <w:pPr>
              <w:jc w:val="both"/>
              <w:rPr>
                <w:rFonts w:cs="Arial"/>
                <w:b/>
              </w:rPr>
            </w:pPr>
            <w:r>
              <w:rPr>
                <w:b/>
              </w:rPr>
              <w:t>Bleaching process used in the production of the pulp</w:t>
            </w:r>
          </w:p>
        </w:tc>
      </w:tr>
      <w:tr w:rsidR="00E528C1" w14:paraId="3A862B5C" w14:textId="77777777" w:rsidTr="00D13A96">
        <w:tc>
          <w:tcPr>
            <w:tcW w:w="1413" w:type="dxa"/>
          </w:tcPr>
          <w:p w14:paraId="03912B38" w14:textId="77777777" w:rsidR="00E528C1" w:rsidRDefault="00E528C1" w:rsidP="001E0D08">
            <w:pPr>
              <w:jc w:val="both"/>
              <w:rPr>
                <w:rFonts w:cs="Arial"/>
              </w:rPr>
            </w:pPr>
          </w:p>
        </w:tc>
        <w:tc>
          <w:tcPr>
            <w:tcW w:w="8363" w:type="dxa"/>
            <w:gridSpan w:val="6"/>
          </w:tcPr>
          <w:p w14:paraId="7333B984" w14:textId="59F94830" w:rsidR="00D70471" w:rsidRDefault="00D70471" w:rsidP="00D70471">
            <w:r>
              <w:t>In the production of the pulp, the following requirements apply to the bleaching process:</w:t>
            </w:r>
          </w:p>
          <w:p w14:paraId="2260E34F" w14:textId="4B532E2E" w:rsidR="00D70471" w:rsidRPr="00FD4A41" w:rsidRDefault="00D70471" w:rsidP="00D70471">
            <w:pPr>
              <w:pStyle w:val="AufzhlungPunkt1"/>
            </w:pPr>
            <w:r>
              <w:t>The pulp must not be bleached using elementary chlorine.</w:t>
            </w:r>
          </w:p>
          <w:p w14:paraId="79FD05F8" w14:textId="77777777" w:rsidR="00D70471" w:rsidRPr="00FD4A41" w:rsidRDefault="00D70471" w:rsidP="00D70471">
            <w:pPr>
              <w:pStyle w:val="AufzhlungPunkt1"/>
            </w:pPr>
            <w:r>
              <w:t xml:space="preserve">The specific amounts of poorly biodegradable complexing agents (ethylenediaminetetraacetic acid (EDTA) and diethylenetriaminepentaacetic acid (DTPA)) must be stated in kg per air dry tonne, expressed as an annual average. </w:t>
            </w:r>
          </w:p>
          <w:p w14:paraId="7ADAE4BD" w14:textId="77777777" w:rsidR="00E528C1" w:rsidRPr="00D70471" w:rsidRDefault="00D70471" w:rsidP="001E0D08">
            <w:pPr>
              <w:pStyle w:val="AufzhlungPunkt1"/>
            </w:pPr>
            <w:r>
              <w:t>A total chlorine free (TCF) process is preferred for the bleaching process, although an elemental chlorine free (ECF) process is permitted. In this case, the specific amount of bleaching agent consumed, expressed as an annual average, must be stated in kilograms of ClO</w:t>
            </w:r>
            <w:r>
              <w:rPr>
                <w:rStyle w:val="Tiefgestellt"/>
              </w:rPr>
              <w:t>2</w:t>
            </w:r>
            <w:r>
              <w:t xml:space="preserve"> per air dry tonne. The adsorbable organically combined halogens (AOX) must be measured in the waste water. The annual average for the measured AOX emissions to waste water must not exceed a value of 0.12 kg AOX per air dry tonne.</w:t>
            </w:r>
          </w:p>
        </w:tc>
      </w:tr>
      <w:tr w:rsidR="00E528C1" w14:paraId="6178DBF9" w14:textId="77777777" w:rsidTr="00407A44">
        <w:tc>
          <w:tcPr>
            <w:tcW w:w="1413" w:type="dxa"/>
            <w:shd w:val="clear" w:color="auto" w:fill="F2F2F2" w:themeFill="background1" w:themeFillShade="F2"/>
          </w:tcPr>
          <w:p w14:paraId="483A3646" w14:textId="77777777" w:rsidR="00E528C1" w:rsidRPr="00407A44" w:rsidRDefault="00407A44" w:rsidP="001E0D08">
            <w:pPr>
              <w:jc w:val="both"/>
              <w:rPr>
                <w:rFonts w:cs="Arial"/>
                <w:b/>
              </w:rPr>
            </w:pPr>
            <w:r>
              <w:rPr>
                <w:b/>
              </w:rPr>
              <w:t>3.3.5</w:t>
            </w:r>
          </w:p>
        </w:tc>
        <w:tc>
          <w:tcPr>
            <w:tcW w:w="8363" w:type="dxa"/>
            <w:gridSpan w:val="6"/>
            <w:shd w:val="clear" w:color="auto" w:fill="F2F2F2" w:themeFill="background1" w:themeFillShade="F2"/>
          </w:tcPr>
          <w:p w14:paraId="7C40EAB3" w14:textId="3EA34B26" w:rsidR="00E528C1" w:rsidRPr="00407A44" w:rsidRDefault="00407A44" w:rsidP="001E0D08">
            <w:pPr>
              <w:jc w:val="both"/>
              <w:rPr>
                <w:rFonts w:cs="Arial"/>
                <w:b/>
              </w:rPr>
            </w:pPr>
            <w:r>
              <w:rPr>
                <w:b/>
              </w:rPr>
              <w:t>Energy consumption in the production of the pulp</w:t>
            </w:r>
          </w:p>
        </w:tc>
      </w:tr>
      <w:tr w:rsidR="00E528C1" w14:paraId="7D7B91BA" w14:textId="77777777" w:rsidTr="00D13A96">
        <w:tc>
          <w:tcPr>
            <w:tcW w:w="1413" w:type="dxa"/>
          </w:tcPr>
          <w:p w14:paraId="749BBE8A" w14:textId="77777777" w:rsidR="00E528C1" w:rsidRDefault="00E528C1" w:rsidP="001E0D08">
            <w:pPr>
              <w:jc w:val="both"/>
              <w:rPr>
                <w:rFonts w:cs="Arial"/>
              </w:rPr>
            </w:pPr>
          </w:p>
        </w:tc>
        <w:tc>
          <w:tcPr>
            <w:tcW w:w="8363" w:type="dxa"/>
            <w:gridSpan w:val="6"/>
          </w:tcPr>
          <w:p w14:paraId="15E9A13B" w14:textId="1986C1BB" w:rsidR="00407A44" w:rsidRDefault="00407A44" w:rsidP="00407A44">
            <w:bookmarkStart w:id="6" w:name="_Hlk98408042"/>
            <w:r>
              <w:t>The specific energy consumption in the production of the pulp must not exceed the following limit values:</w:t>
            </w:r>
          </w:p>
          <w:p w14:paraId="3EDB19E4" w14:textId="77777777" w:rsidR="00407A44" w:rsidRPr="00216E4E" w:rsidRDefault="00407A44" w:rsidP="00407A44">
            <w:pPr>
              <w:pStyle w:val="AufzhlungPunkt1"/>
            </w:pPr>
            <w:r>
              <w:t>Electrical energy: ≤1,125 kWh/air dry tonne</w:t>
            </w:r>
          </w:p>
          <w:p w14:paraId="767D2846" w14:textId="77777777" w:rsidR="00407A44" w:rsidRDefault="00407A44" w:rsidP="00407A44">
            <w:pPr>
              <w:pStyle w:val="AufzhlungPunkt1"/>
            </w:pPr>
            <w:r>
              <w:t>Heating energy: ≤7,500 kWh/air dry tonne</w:t>
            </w:r>
          </w:p>
          <w:bookmarkEnd w:id="6"/>
          <w:p w14:paraId="3A7F0D93" w14:textId="77777777" w:rsidR="00407A44" w:rsidRDefault="00407A44" w:rsidP="00407A44">
            <w:pPr>
              <w:pStyle w:val="AufzhlungPunkt1"/>
              <w:numPr>
                <w:ilvl w:val="0"/>
                <w:numId w:val="0"/>
              </w:numPr>
              <w:ind w:left="426" w:hanging="426"/>
            </w:pPr>
          </w:p>
          <w:p w14:paraId="37389BE4" w14:textId="77777777" w:rsidR="00407A44" w:rsidRDefault="00407A44" w:rsidP="00407A44">
            <w:pPr>
              <w:pStyle w:val="AufzhlungBuchstabe"/>
            </w:pPr>
            <w:r>
              <w:t>Electrical energy (electricity):</w:t>
            </w:r>
          </w:p>
          <w:p w14:paraId="11C14B5A" w14:textId="0BA54070" w:rsidR="00407A44" w:rsidRDefault="00407A44" w:rsidP="00407A44">
            <w:r>
              <w:t>The electricity consumed in the production of the pulp must be measured over a period of 12 months and stated in relation to the pulp produced (air dry tonnes) during this period.</w:t>
            </w:r>
          </w:p>
          <w:p w14:paraId="3F748726" w14:textId="77777777" w:rsidR="00407A44" w:rsidRPr="00216E4E" w:rsidRDefault="00407A44" w:rsidP="00407A44"/>
          <w:p w14:paraId="74719345" w14:textId="77777777" w:rsidR="00407A44" w:rsidRDefault="00407A44" w:rsidP="00407A44">
            <w:r>
              <w:t>The electricity consumption is calculated as follows:</w:t>
            </w:r>
          </w:p>
          <w:p w14:paraId="442BAF6F" w14:textId="77777777" w:rsidR="00407A44" w:rsidRPr="00216E4E" w:rsidRDefault="00407A44" w:rsidP="00407A44"/>
          <w:p w14:paraId="5AF6086B" w14:textId="77777777" w:rsidR="00407A44" w:rsidRPr="00216E4E" w:rsidRDefault="00407A44" w:rsidP="00407A44">
            <w:r>
              <w:t xml:space="preserve">Electricity consumption = electricity generated at the plant </w:t>
            </w:r>
          </w:p>
          <w:p w14:paraId="2BADDB92" w14:textId="77777777" w:rsidR="00407A44" w:rsidRPr="00216E4E" w:rsidRDefault="00407A44" w:rsidP="00407A44">
            <w:pPr>
              <w:pStyle w:val="Standardeingercktum0"/>
            </w:pPr>
            <w:r>
              <w:t>plus the electricity purchased from outside of the plant</w:t>
            </w:r>
          </w:p>
          <w:p w14:paraId="47CD3CB1" w14:textId="77777777" w:rsidR="00407A44" w:rsidRPr="00216E4E" w:rsidRDefault="00407A44" w:rsidP="00407A44">
            <w:pPr>
              <w:pStyle w:val="Standardeingercktum0"/>
            </w:pPr>
            <w:r>
              <w:t>less the electricity sold outside of the plant</w:t>
            </w:r>
          </w:p>
          <w:p w14:paraId="279E252C" w14:textId="77777777" w:rsidR="00407A44" w:rsidRPr="00216E4E" w:rsidRDefault="00407A44" w:rsidP="00407A44">
            <w:pPr>
              <w:pStyle w:val="Standardeingercktum0"/>
            </w:pPr>
            <w:r>
              <w:t xml:space="preserve">less the electricity consumed at the treatment plant </w:t>
            </w:r>
          </w:p>
          <w:p w14:paraId="7904DEC6" w14:textId="5DA5D0B1" w:rsidR="00407A44" w:rsidRDefault="00407A44" w:rsidP="00407A44">
            <w:pPr>
              <w:pStyle w:val="Standardeingercktum0"/>
            </w:pPr>
            <w:r>
              <w:t>less the electricity consumed for processes not related to the pulp production at the plant</w:t>
            </w:r>
          </w:p>
          <w:p w14:paraId="4AE3514F" w14:textId="77777777" w:rsidR="00407A44" w:rsidRDefault="00407A44" w:rsidP="00407A44">
            <w:pPr>
              <w:pStyle w:val="Standardeingercktum0"/>
              <w:ind w:left="0"/>
            </w:pPr>
          </w:p>
          <w:p w14:paraId="0DB31573" w14:textId="77777777" w:rsidR="00407A44" w:rsidRDefault="00407A44" w:rsidP="00407A44">
            <w:pPr>
              <w:pStyle w:val="AufzhlungBuchstabe"/>
            </w:pPr>
            <w:r>
              <w:t>Heating energy (fuel):</w:t>
            </w:r>
          </w:p>
          <w:p w14:paraId="2A4A96C6" w14:textId="7593A1E4" w:rsidR="00407A44" w:rsidRDefault="00407A44" w:rsidP="00407A44">
            <w:r>
              <w:t>The heating energy consumed in the production of the pulp must be measured over a period of 12 months and stated in relation to the pulp produced (air dry tonnes) during this period. Heating energy can be in the form of gaseous, liquid or solid fuels (e.g. natural gas, heating oil, biomass) or in the form of heat transfer media (e.g. water, steam). For the energy content of the fuel, the lower heating value (LHV) for the relevant fuel is used. In the case of damp fuels (e.g. wood, biomass), the effective calorific value (after subtracting the evaporation energy of the enclosed water) is used, while the effective energy content is used for heat transfer media.</w:t>
            </w:r>
          </w:p>
          <w:p w14:paraId="0A86F40A" w14:textId="77777777" w:rsidR="00407A44" w:rsidRDefault="00407A44" w:rsidP="00407A44"/>
          <w:p w14:paraId="764CC965" w14:textId="77777777" w:rsidR="00407A44" w:rsidRDefault="00407A44" w:rsidP="00407A44">
            <w:r>
              <w:t>The heating energy consumption is calculated as follows:</w:t>
            </w:r>
          </w:p>
          <w:p w14:paraId="7AD71682" w14:textId="77777777" w:rsidR="00407A44" w:rsidRPr="00E73B07" w:rsidRDefault="00407A44" w:rsidP="00407A44"/>
          <w:p w14:paraId="28876BF2" w14:textId="77777777" w:rsidR="00407A44" w:rsidRPr="00E73B07" w:rsidRDefault="00407A44" w:rsidP="00407A44">
            <w:r>
              <w:t>Heating energy consumption = fuel produced at the plant</w:t>
            </w:r>
          </w:p>
          <w:p w14:paraId="6E44D9FC" w14:textId="77777777" w:rsidR="00407A44" w:rsidRPr="00E73B07" w:rsidRDefault="00407A44" w:rsidP="00407A44">
            <w:pPr>
              <w:pStyle w:val="Standardeingercktum0"/>
            </w:pPr>
            <w:r>
              <w:t xml:space="preserve">plus the purchased heating energy or fuel </w:t>
            </w:r>
          </w:p>
          <w:p w14:paraId="626B85CA" w14:textId="77777777" w:rsidR="00407A44" w:rsidRPr="00E73B07" w:rsidRDefault="00407A44" w:rsidP="00407A44">
            <w:pPr>
              <w:pStyle w:val="Standardeingercktum0"/>
            </w:pPr>
            <w:r>
              <w:lastRenderedPageBreak/>
              <w:t>less the heating energy or fuel sold</w:t>
            </w:r>
          </w:p>
          <w:p w14:paraId="51F8904A" w14:textId="77777777" w:rsidR="00407A44" w:rsidRPr="00E73B07" w:rsidRDefault="00407A44" w:rsidP="00407A44">
            <w:pPr>
              <w:pStyle w:val="Standardeingercktum0"/>
            </w:pPr>
            <w:r>
              <w:t xml:space="preserve">less 1.25 x the electricity generated at the plant </w:t>
            </w:r>
          </w:p>
          <w:p w14:paraId="47C45507" w14:textId="3BB68FFB" w:rsidR="00407A44" w:rsidRDefault="00407A44" w:rsidP="00407A44">
            <w:pPr>
              <w:pStyle w:val="Standardeingercktum0"/>
            </w:pPr>
            <w:r>
              <w:t>less heating energy consumed for processes not related to the pulp production at the plant</w:t>
            </w:r>
          </w:p>
          <w:p w14:paraId="51FEC7D5" w14:textId="77777777" w:rsidR="00407A44" w:rsidRDefault="00407A44" w:rsidP="00407A44">
            <w:pPr>
              <w:spacing w:line="276" w:lineRule="auto"/>
            </w:pPr>
            <w:r>
              <w:br w:type="page"/>
            </w:r>
          </w:p>
          <w:p w14:paraId="36450B80" w14:textId="77777777" w:rsidR="00407A44" w:rsidRPr="000807D8" w:rsidRDefault="00407A44" w:rsidP="00407A44">
            <w:pPr>
              <w:pStyle w:val="Standardeingercktum0"/>
              <w:ind w:left="0"/>
              <w:rPr>
                <w:rStyle w:val="StandardfettnurWort"/>
              </w:rPr>
            </w:pPr>
            <w:r>
              <w:rPr>
                <w:rStyle w:val="StandardfettnurWort"/>
              </w:rPr>
              <w:t>Please note:</w:t>
            </w:r>
          </w:p>
          <w:p w14:paraId="11D6EE2B" w14:textId="65BE563D" w:rsidR="00E528C1" w:rsidRPr="00407A44" w:rsidRDefault="00407A44" w:rsidP="00407A44">
            <w:r>
              <w:t>The heating energy includes all fuels used (their lower heat value) and the heating energy recovered from the incineration of pulping liquors and waste at the production site (e.g. waste wood, sawdust, pulping liquor, waste paper, rejected paper), as well as the heating energy recovered from the plant’s own electricity generation. The applicant must present the calculation for the energy consumption for the production of the pulp in the form of an energy statement together with the calculation parameters used. If the applicant does not have their own heating values for the fuels used, the heating values documented in the Nordic ecolabel for paper products</w:t>
            </w:r>
            <w:r w:rsidRPr="0045270A">
              <w:rPr>
                <w:rStyle w:val="Funotenzeichen"/>
              </w:rPr>
              <w:footnoteReference w:id="3"/>
            </w:r>
            <w:r>
              <w:t xml:space="preserve"> may be used.</w:t>
            </w:r>
          </w:p>
        </w:tc>
      </w:tr>
      <w:tr w:rsidR="00E528C1" w14:paraId="401D819D" w14:textId="77777777" w:rsidTr="005D7945">
        <w:tc>
          <w:tcPr>
            <w:tcW w:w="1413" w:type="dxa"/>
            <w:shd w:val="clear" w:color="auto" w:fill="F2F2F2" w:themeFill="background1" w:themeFillShade="F2"/>
          </w:tcPr>
          <w:p w14:paraId="08928FEC" w14:textId="77777777" w:rsidR="00E528C1" w:rsidRPr="00C0608D" w:rsidRDefault="005D7945" w:rsidP="001E0D08">
            <w:pPr>
              <w:jc w:val="both"/>
              <w:rPr>
                <w:rFonts w:cs="Arial"/>
                <w:b/>
              </w:rPr>
            </w:pPr>
            <w:r>
              <w:rPr>
                <w:b/>
              </w:rPr>
              <w:lastRenderedPageBreak/>
              <w:t>3.4.1</w:t>
            </w:r>
          </w:p>
        </w:tc>
        <w:tc>
          <w:tcPr>
            <w:tcW w:w="8363" w:type="dxa"/>
            <w:gridSpan w:val="6"/>
            <w:shd w:val="clear" w:color="auto" w:fill="F2F2F2" w:themeFill="background1" w:themeFillShade="F2"/>
          </w:tcPr>
          <w:p w14:paraId="79A8143E" w14:textId="77777777" w:rsidR="00E528C1" w:rsidRPr="005D7945" w:rsidRDefault="005D7945" w:rsidP="001E0D08">
            <w:pPr>
              <w:jc w:val="both"/>
              <w:rPr>
                <w:rFonts w:cs="Arial"/>
                <w:b/>
              </w:rPr>
            </w:pPr>
            <w:r>
              <w:rPr>
                <w:b/>
              </w:rPr>
              <w:t>Direct discharge</w:t>
            </w:r>
          </w:p>
        </w:tc>
      </w:tr>
      <w:tr w:rsidR="00E528C1" w14:paraId="5F644EA4" w14:textId="77777777" w:rsidTr="00D13A96">
        <w:tc>
          <w:tcPr>
            <w:tcW w:w="1413" w:type="dxa"/>
          </w:tcPr>
          <w:p w14:paraId="47023DE0" w14:textId="77777777" w:rsidR="00E528C1" w:rsidRDefault="00E528C1" w:rsidP="001E0D08">
            <w:pPr>
              <w:jc w:val="both"/>
              <w:rPr>
                <w:rFonts w:cs="Arial"/>
              </w:rPr>
            </w:pPr>
          </w:p>
        </w:tc>
        <w:tc>
          <w:tcPr>
            <w:tcW w:w="8363" w:type="dxa"/>
            <w:gridSpan w:val="6"/>
          </w:tcPr>
          <w:p w14:paraId="3C0C8C0C" w14:textId="77777777" w:rsidR="005D7945" w:rsidRDefault="005D7945" w:rsidP="005D7945">
            <w:r>
              <w:t xml:space="preserve">In the production of thermal paper, the emission limits for the waste water load that are listed by the EU Commission in the “Best Available Techniques (BAT) Reference Document for the Production of Pulp, Paper and Board PP BREF“ must be complied with by direct dischargers. These limits have been implemented in Germany in Appendix 28 of the German Waste Water Ordinance. The limits listed in Table 1 go above and beyond the statutory requirements in some cases so that the environmental label can only be used to certify paper that is produced in a particularly environmentally friendly way. Therefore, the emission limits for the waste water load that are listed by the EU Commission in the “Best Available Techniques (BAT) Reference Document for the Production of Pulp, Paper and Board” must be complied with by </w:t>
            </w:r>
            <w:r>
              <w:rPr>
                <w:rStyle w:val="StandardfettnurWort"/>
              </w:rPr>
              <w:t>direct dischargers</w:t>
            </w:r>
            <w:r>
              <w:t>. These limits are listed in Table 1 below:</w:t>
            </w:r>
          </w:p>
          <w:p w14:paraId="486581C0" w14:textId="77777777" w:rsidR="005D7945" w:rsidRDefault="005D7945" w:rsidP="005D7945"/>
          <w:p w14:paraId="792F70F9" w14:textId="77777777" w:rsidR="005D7945" w:rsidRDefault="005D7945" w:rsidP="005D7945">
            <w:pPr>
              <w:pStyle w:val="Standardklein"/>
            </w:pPr>
            <w:r>
              <w:t xml:space="preserve">Table </w:t>
            </w:r>
            <w:r w:rsidR="006E56E0">
              <w:fldChar w:fldCharType="begin"/>
            </w:r>
            <w:r w:rsidR="006E56E0">
              <w:instrText xml:space="preserve"> SEQ Tabelle \* ARABIC </w:instrText>
            </w:r>
            <w:r w:rsidR="006E56E0">
              <w:fldChar w:fldCharType="separate"/>
            </w:r>
            <w:r w:rsidR="00B16518">
              <w:rPr>
                <w:noProof/>
              </w:rPr>
              <w:t>1</w:t>
            </w:r>
            <w:r w:rsidR="006E56E0">
              <w:rPr>
                <w:noProof/>
              </w:rPr>
              <w:fldChar w:fldCharType="end"/>
            </w:r>
            <w:r>
              <w:t>: Maximum limits for the average annual emission parameters (waste water) in the paper production process</w:t>
            </w:r>
          </w:p>
          <w:tbl>
            <w:tblPr>
              <w:tblStyle w:val="TabellefrVergabegrundlageKopfzeilegrau"/>
              <w:tblW w:w="0" w:type="auto"/>
              <w:tblLook w:val="04A0" w:firstRow="1" w:lastRow="0" w:firstColumn="1" w:lastColumn="0" w:noHBand="0" w:noVBand="1"/>
            </w:tblPr>
            <w:tblGrid>
              <w:gridCol w:w="4058"/>
              <w:gridCol w:w="4079"/>
            </w:tblGrid>
            <w:tr w:rsidR="005D7945" w14:paraId="12B3F2FF" w14:textId="77777777" w:rsidTr="000705AE">
              <w:trPr>
                <w:cnfStyle w:val="100000000000" w:firstRow="1" w:lastRow="0" w:firstColumn="0" w:lastColumn="0" w:oddVBand="0" w:evenVBand="0" w:oddHBand="0" w:evenHBand="0" w:firstRowFirstColumn="0" w:firstRowLastColumn="0" w:lastRowFirstColumn="0" w:lastRowLastColumn="0"/>
              </w:trPr>
              <w:tc>
                <w:tcPr>
                  <w:tcW w:w="4814" w:type="dxa"/>
                </w:tcPr>
                <w:p w14:paraId="2C0DF293" w14:textId="77777777" w:rsidR="005D7945" w:rsidRPr="005202D8" w:rsidRDefault="005D7945" w:rsidP="005D7945">
                  <w:pPr>
                    <w:pStyle w:val="Tabellentextfettkleinlinksbndig"/>
                  </w:pPr>
                  <w:r>
                    <w:t>Parameter</w:t>
                  </w:r>
                </w:p>
              </w:tc>
              <w:tc>
                <w:tcPr>
                  <w:tcW w:w="4814" w:type="dxa"/>
                </w:tcPr>
                <w:p w14:paraId="2E1FBD75" w14:textId="77777777" w:rsidR="005D7945" w:rsidRPr="005202D8" w:rsidRDefault="005D7945" w:rsidP="005D7945">
                  <w:pPr>
                    <w:pStyle w:val="Tabellentextfettkleinlinksbndig"/>
                  </w:pPr>
                  <w:r>
                    <w:t>Maximum limit for the waste water emissions (average annual value as a load or concentration)</w:t>
                  </w:r>
                  <w:r w:rsidRPr="005202D8">
                    <w:rPr>
                      <w:rStyle w:val="Funotenzeichen"/>
                    </w:rPr>
                    <w:footnoteReference w:id="4"/>
                  </w:r>
                </w:p>
              </w:tc>
            </w:tr>
            <w:tr w:rsidR="005D7945" w14:paraId="2634626C" w14:textId="77777777" w:rsidTr="000705AE">
              <w:tc>
                <w:tcPr>
                  <w:tcW w:w="4814" w:type="dxa"/>
                </w:tcPr>
                <w:p w14:paraId="1C7DCAAD" w14:textId="77777777" w:rsidR="005D7945" w:rsidRPr="005202D8" w:rsidRDefault="005D7945" w:rsidP="005D7945">
                  <w:pPr>
                    <w:pStyle w:val="Tabellentextstandardkleinlinksbndig"/>
                  </w:pPr>
                  <w:r>
                    <w:t>Volumetric flow rate of waste water</w:t>
                  </w:r>
                </w:p>
              </w:tc>
              <w:tc>
                <w:tcPr>
                  <w:tcW w:w="4814" w:type="dxa"/>
                </w:tcPr>
                <w:p w14:paraId="20D4FE81" w14:textId="77777777" w:rsidR="005D7945" w:rsidRPr="005202D8" w:rsidRDefault="005D7945" w:rsidP="005D7945">
                  <w:pPr>
                    <w:pStyle w:val="Tabellentextstandardkleinlinksbndig"/>
                  </w:pPr>
                  <w:r>
                    <w:t>15 m</w:t>
                  </w:r>
                  <w:r>
                    <w:rPr>
                      <w:rStyle w:val="Hochgestellt"/>
                    </w:rPr>
                    <w:t>3</w:t>
                  </w:r>
                  <w:r>
                    <w:t>/Adt</w:t>
                  </w:r>
                </w:p>
              </w:tc>
            </w:tr>
            <w:tr w:rsidR="005D7945" w14:paraId="0BFFB1A5" w14:textId="77777777" w:rsidTr="000705AE">
              <w:tc>
                <w:tcPr>
                  <w:tcW w:w="4814" w:type="dxa"/>
                </w:tcPr>
                <w:p w14:paraId="42B08E9E" w14:textId="77777777" w:rsidR="005D7945" w:rsidRPr="005202D8" w:rsidRDefault="005D7945" w:rsidP="005D7945">
                  <w:pPr>
                    <w:pStyle w:val="Tabellentextstandardkleinlinksbndig"/>
                  </w:pPr>
                  <w:r>
                    <w:t>COD</w:t>
                  </w:r>
                </w:p>
              </w:tc>
              <w:tc>
                <w:tcPr>
                  <w:tcW w:w="4814" w:type="dxa"/>
                </w:tcPr>
                <w:p w14:paraId="0A5C24E2" w14:textId="77777777" w:rsidR="005D7945" w:rsidRPr="005202D8" w:rsidRDefault="005D7945" w:rsidP="005D7945">
                  <w:pPr>
                    <w:pStyle w:val="Tabellentextstandardkleinlinksbndig"/>
                  </w:pPr>
                  <w:r>
                    <w:t>3 kg/Adt</w:t>
                  </w:r>
                </w:p>
              </w:tc>
            </w:tr>
            <w:tr w:rsidR="005D7945" w14:paraId="47818849" w14:textId="77777777" w:rsidTr="000705AE">
              <w:tc>
                <w:tcPr>
                  <w:tcW w:w="4814" w:type="dxa"/>
                </w:tcPr>
                <w:p w14:paraId="6B4EBB9D" w14:textId="77777777" w:rsidR="005D7945" w:rsidRPr="005202D8" w:rsidRDefault="005D7945" w:rsidP="005D7945">
                  <w:pPr>
                    <w:pStyle w:val="Tabellentextstandardkleinlinksbndig"/>
                  </w:pPr>
                  <w:r>
                    <w:t>BSB5</w:t>
                  </w:r>
                </w:p>
              </w:tc>
              <w:tc>
                <w:tcPr>
                  <w:tcW w:w="4814" w:type="dxa"/>
                </w:tcPr>
                <w:p w14:paraId="46806A79" w14:textId="77777777" w:rsidR="005D7945" w:rsidRPr="005202D8" w:rsidRDefault="005D7945" w:rsidP="005D7945">
                  <w:pPr>
                    <w:pStyle w:val="Tabellentextstandardkleinlinksbndig"/>
                  </w:pPr>
                  <w:r>
                    <w:t>0.15 kg/Adt or 25 mg/l</w:t>
                  </w:r>
                </w:p>
              </w:tc>
            </w:tr>
            <w:tr w:rsidR="005D7945" w14:paraId="72DBECF8" w14:textId="77777777" w:rsidTr="000705AE">
              <w:tc>
                <w:tcPr>
                  <w:tcW w:w="4814" w:type="dxa"/>
                </w:tcPr>
                <w:p w14:paraId="4F563AAD" w14:textId="77777777" w:rsidR="005D7945" w:rsidRPr="005202D8" w:rsidRDefault="005D7945" w:rsidP="005D7945">
                  <w:pPr>
                    <w:pStyle w:val="Tabellentextstandardkleinlinksbndig"/>
                  </w:pPr>
                  <w:r>
                    <w:t>Total N (inorganic + organic N) (TN</w:t>
                  </w:r>
                  <w:r>
                    <w:rPr>
                      <w:rStyle w:val="Tiefgestellt"/>
                    </w:rPr>
                    <w:t>b</w:t>
                  </w:r>
                  <w:r>
                    <w:t>)</w:t>
                  </w:r>
                </w:p>
              </w:tc>
              <w:tc>
                <w:tcPr>
                  <w:tcW w:w="4814" w:type="dxa"/>
                </w:tcPr>
                <w:p w14:paraId="3A15D6BD" w14:textId="77777777" w:rsidR="005D7945" w:rsidRPr="005202D8" w:rsidRDefault="005D7945" w:rsidP="005D7945">
                  <w:pPr>
                    <w:pStyle w:val="Tabellentextstandardkleinlinksbndig"/>
                  </w:pPr>
                  <w:r>
                    <w:t>0.07 kg/Adt or 15 mg/l</w:t>
                  </w:r>
                </w:p>
              </w:tc>
            </w:tr>
            <w:tr w:rsidR="005D7945" w14:paraId="180606BD" w14:textId="77777777" w:rsidTr="000705AE">
              <w:tc>
                <w:tcPr>
                  <w:tcW w:w="4814" w:type="dxa"/>
                </w:tcPr>
                <w:p w14:paraId="7A1EDDE7" w14:textId="77777777" w:rsidR="005D7945" w:rsidRPr="005202D8" w:rsidRDefault="005D7945" w:rsidP="005D7945">
                  <w:pPr>
                    <w:pStyle w:val="Tabellentextstandardkleinlinksbndig"/>
                  </w:pPr>
                  <w:r>
                    <w:t>Total P</w:t>
                  </w:r>
                </w:p>
              </w:tc>
              <w:tc>
                <w:tcPr>
                  <w:tcW w:w="4814" w:type="dxa"/>
                </w:tcPr>
                <w:p w14:paraId="0D33D1D8" w14:textId="77777777" w:rsidR="005D7945" w:rsidRPr="005202D8" w:rsidRDefault="005D7945" w:rsidP="005D7945">
                  <w:pPr>
                    <w:pStyle w:val="Tabellentextstandardkleinlinksbndig"/>
                  </w:pPr>
                  <w:r>
                    <w:t>0.008 kg/Adt or 1.2 mg/l</w:t>
                  </w:r>
                </w:p>
              </w:tc>
            </w:tr>
          </w:tbl>
          <w:p w14:paraId="3A3D4E23" w14:textId="77777777" w:rsidR="005D7945" w:rsidRDefault="005D7945" w:rsidP="005D7945"/>
          <w:p w14:paraId="5CEB6782" w14:textId="77777777" w:rsidR="005D7945" w:rsidRPr="005202D8" w:rsidRDefault="005D7945" w:rsidP="005D7945">
            <w:r>
              <w:t>Adt = air dried ton</w:t>
            </w:r>
          </w:p>
          <w:p w14:paraId="175D55BF" w14:textId="77777777" w:rsidR="00E528C1" w:rsidRDefault="005D7945" w:rsidP="005D7945">
            <w:r>
              <w:t>TNb = total nitrogen bound. This parameter defines the total pollution of water by nitrogen compounds, which can appear in the form of e.g. ammonia, nitrites, nitrates or organic nitrogen compounds. A suitable method for determining this parameter is DIN EN 12260.</w:t>
            </w:r>
          </w:p>
          <w:p w14:paraId="47BB8791" w14:textId="77777777" w:rsidR="00A81C71" w:rsidRDefault="00A81C71" w:rsidP="005D7945"/>
          <w:p w14:paraId="4DEEDB6A" w14:textId="72AF3CC7" w:rsidR="00A81C71" w:rsidRPr="005D7945" w:rsidRDefault="00A81C71" w:rsidP="005D7945"/>
        </w:tc>
      </w:tr>
      <w:tr w:rsidR="005D7945" w14:paraId="65790542" w14:textId="77777777" w:rsidTr="001F3434">
        <w:tc>
          <w:tcPr>
            <w:tcW w:w="1413" w:type="dxa"/>
            <w:shd w:val="clear" w:color="auto" w:fill="F2F2F2" w:themeFill="background1" w:themeFillShade="F2"/>
          </w:tcPr>
          <w:p w14:paraId="2629E151" w14:textId="77777777" w:rsidR="005D7945" w:rsidRPr="001F3434" w:rsidRDefault="009C0080" w:rsidP="001E0D08">
            <w:pPr>
              <w:jc w:val="both"/>
              <w:rPr>
                <w:rFonts w:cs="Arial"/>
                <w:b/>
              </w:rPr>
            </w:pPr>
            <w:r>
              <w:rPr>
                <w:b/>
              </w:rPr>
              <w:lastRenderedPageBreak/>
              <w:t>3.4.2</w:t>
            </w:r>
          </w:p>
        </w:tc>
        <w:tc>
          <w:tcPr>
            <w:tcW w:w="8363" w:type="dxa"/>
            <w:gridSpan w:val="6"/>
            <w:shd w:val="clear" w:color="auto" w:fill="F2F2F2" w:themeFill="background1" w:themeFillShade="F2"/>
          </w:tcPr>
          <w:p w14:paraId="2FB59DF1" w14:textId="77777777" w:rsidR="005D7945" w:rsidRPr="001F3434" w:rsidRDefault="009C0080" w:rsidP="005D7945">
            <w:pPr>
              <w:rPr>
                <w:b/>
              </w:rPr>
            </w:pPr>
            <w:r>
              <w:rPr>
                <w:b/>
              </w:rPr>
              <w:t>Indirect discharge</w:t>
            </w:r>
          </w:p>
        </w:tc>
      </w:tr>
      <w:tr w:rsidR="005D7945" w14:paraId="32A4BAE2" w14:textId="77777777" w:rsidTr="00D13A96">
        <w:tc>
          <w:tcPr>
            <w:tcW w:w="1413" w:type="dxa"/>
          </w:tcPr>
          <w:p w14:paraId="6ECBA597" w14:textId="77777777" w:rsidR="005D7945" w:rsidRDefault="005D7945" w:rsidP="001E0D08">
            <w:pPr>
              <w:jc w:val="both"/>
              <w:rPr>
                <w:rFonts w:cs="Arial"/>
              </w:rPr>
            </w:pPr>
          </w:p>
        </w:tc>
        <w:tc>
          <w:tcPr>
            <w:tcW w:w="8363" w:type="dxa"/>
            <w:gridSpan w:val="6"/>
          </w:tcPr>
          <w:p w14:paraId="159C9249" w14:textId="77777777" w:rsidR="005D7945" w:rsidRPr="00AD575F" w:rsidRDefault="001F3434" w:rsidP="005D7945">
            <w:r>
              <w:rPr>
                <w:rStyle w:val="StandardfettnurWort"/>
              </w:rPr>
              <w:t>Indirect dischargers</w:t>
            </w:r>
            <w:r>
              <w:t xml:space="preserve"> must declare compliance with the emission limits for the parameters stated in Table 1 after treatment.</w:t>
            </w:r>
          </w:p>
        </w:tc>
      </w:tr>
      <w:tr w:rsidR="005D7945" w14:paraId="0FC6BC89" w14:textId="77777777" w:rsidTr="001F3434">
        <w:tc>
          <w:tcPr>
            <w:tcW w:w="1413" w:type="dxa"/>
            <w:shd w:val="clear" w:color="auto" w:fill="F2F2F2" w:themeFill="background1" w:themeFillShade="F2"/>
          </w:tcPr>
          <w:p w14:paraId="74A24B10" w14:textId="77777777" w:rsidR="005D7945" w:rsidRPr="001F3434" w:rsidRDefault="001F3434" w:rsidP="001E0D08">
            <w:pPr>
              <w:jc w:val="both"/>
              <w:rPr>
                <w:rFonts w:cs="Arial"/>
                <w:b/>
              </w:rPr>
            </w:pPr>
            <w:r>
              <w:rPr>
                <w:b/>
              </w:rPr>
              <w:t>3.5</w:t>
            </w:r>
          </w:p>
        </w:tc>
        <w:tc>
          <w:tcPr>
            <w:tcW w:w="8363" w:type="dxa"/>
            <w:gridSpan w:val="6"/>
            <w:shd w:val="clear" w:color="auto" w:fill="F2F2F2" w:themeFill="background1" w:themeFillShade="F2"/>
          </w:tcPr>
          <w:p w14:paraId="11269249" w14:textId="77777777" w:rsidR="005D7945" w:rsidRPr="001F3434" w:rsidRDefault="001F3434" w:rsidP="005D7945">
            <w:pPr>
              <w:rPr>
                <w:b/>
              </w:rPr>
            </w:pPr>
            <w:r>
              <w:rPr>
                <w:b/>
              </w:rPr>
              <w:t>Requirements for energy consumption and the origin of the electricity for the paper production process</w:t>
            </w:r>
          </w:p>
        </w:tc>
      </w:tr>
      <w:tr w:rsidR="005D7945" w14:paraId="3D0DA0EA" w14:textId="77777777" w:rsidTr="00D13A96">
        <w:tc>
          <w:tcPr>
            <w:tcW w:w="1413" w:type="dxa"/>
          </w:tcPr>
          <w:p w14:paraId="563B8838" w14:textId="77777777" w:rsidR="005D7945" w:rsidRDefault="005D7945" w:rsidP="001E0D08">
            <w:pPr>
              <w:jc w:val="both"/>
              <w:rPr>
                <w:rFonts w:cs="Arial"/>
              </w:rPr>
            </w:pPr>
          </w:p>
        </w:tc>
        <w:tc>
          <w:tcPr>
            <w:tcW w:w="8363" w:type="dxa"/>
            <w:gridSpan w:val="6"/>
          </w:tcPr>
          <w:p w14:paraId="44E5ABE1" w14:textId="77777777" w:rsidR="001F3434" w:rsidRDefault="001F3434" w:rsidP="001F3434">
            <w:pPr>
              <w:rPr>
                <w:rStyle w:val="StandardnurWort"/>
              </w:rPr>
            </w:pPr>
            <w:r>
              <w:rPr>
                <w:rStyle w:val="StandardnurWort"/>
              </w:rPr>
              <w:t>The paper industry is one of the most energy-intensive industries in Germany, which is why it is important to further reduce the consumption of heat and electricity at the production sites and switch to environmentally friendly/friendlier energy sources.</w:t>
            </w:r>
          </w:p>
          <w:p w14:paraId="39FFA0EB" w14:textId="77777777" w:rsidR="001F3434" w:rsidRDefault="001F3434" w:rsidP="001F3434">
            <w:pPr>
              <w:rPr>
                <w:rStyle w:val="StandardnurWort"/>
              </w:rPr>
            </w:pPr>
            <w:r>
              <w:rPr>
                <w:rStyle w:val="StandardnurWort"/>
              </w:rPr>
              <w:t>For the production of thermal paper, the following limits for the consumption of electricity and process heat must not be exceeded as an annual average:</w:t>
            </w:r>
          </w:p>
          <w:p w14:paraId="1ECD2A78" w14:textId="77777777" w:rsidR="001F3434" w:rsidRPr="000264C3" w:rsidRDefault="001F3434" w:rsidP="001F3434">
            <w:pPr>
              <w:pStyle w:val="AufzhlungPunkt1"/>
            </w:pPr>
            <w:r>
              <w:t>Electrical power: ≤1,000 kWh/t paper</w:t>
            </w:r>
          </w:p>
          <w:p w14:paraId="3FE301EE" w14:textId="77777777" w:rsidR="001F3434" w:rsidRDefault="001F3434" w:rsidP="001F3434">
            <w:pPr>
              <w:pStyle w:val="AufzhlungPunkt1"/>
            </w:pPr>
            <w:r>
              <w:t>Process heat: ≤1,700 kWh/t paper</w:t>
            </w:r>
          </w:p>
          <w:p w14:paraId="02CDD41E" w14:textId="77777777" w:rsidR="001F3434" w:rsidRDefault="001F3434" w:rsidP="001F3434">
            <w:pPr>
              <w:rPr>
                <w:rStyle w:val="StandardnurWort"/>
              </w:rPr>
            </w:pPr>
            <w:r>
              <w:rPr>
                <w:rStyle w:val="StandardnurWort"/>
              </w:rPr>
              <w:t>These limits were derived from the data collected for the BAT reference document for the paper and pulp industry (PP BREF</w:t>
            </w:r>
            <w:r w:rsidRPr="000264C3">
              <w:rPr>
                <w:rStyle w:val="Funotenzeichen"/>
              </w:rPr>
              <w:footnoteReference w:id="5"/>
            </w:r>
            <w:r>
              <w:rPr>
                <w:rStyle w:val="StandardnurWort"/>
              </w:rPr>
              <w:t>, here Section 7.3.15, Table 7.30, 7.31).</w:t>
            </w:r>
          </w:p>
          <w:p w14:paraId="2D4F2F68" w14:textId="77777777" w:rsidR="001F3434" w:rsidRDefault="001F3434" w:rsidP="001F3434">
            <w:pPr>
              <w:rPr>
                <w:rStyle w:val="StandardnurWort"/>
              </w:rPr>
            </w:pPr>
          </w:p>
          <w:p w14:paraId="51DA7E93" w14:textId="77777777" w:rsidR="001F3434" w:rsidRPr="00226C08" w:rsidRDefault="001F3434" w:rsidP="001F3434">
            <w:pPr>
              <w:rPr>
                <w:rStyle w:val="StandardnurWort"/>
              </w:rPr>
            </w:pPr>
            <w:r>
              <w:rPr>
                <w:rStyle w:val="StandardnurWort"/>
              </w:rPr>
              <w:t>The sum of the process heat and electrical power is permitted to exceed the limit by a total of 10 %.</w:t>
            </w:r>
          </w:p>
          <w:p w14:paraId="4636BD6C" w14:textId="77777777" w:rsidR="005D7945" w:rsidRPr="00AD575F" w:rsidRDefault="001F3434" w:rsidP="005D7945">
            <w:r>
              <w:rPr>
                <w:rStyle w:val="StandardnurWort"/>
              </w:rPr>
              <w:t>In addition, the applicant must state the energy mix used at the plant based on the type and origin of the energy. The consumed electricity should be sourced from renewable energies.</w:t>
            </w:r>
          </w:p>
        </w:tc>
      </w:tr>
      <w:tr w:rsidR="001F3434" w14:paraId="70F5CF89" w14:textId="77777777" w:rsidTr="001E2D25">
        <w:tc>
          <w:tcPr>
            <w:tcW w:w="1413" w:type="dxa"/>
            <w:shd w:val="clear" w:color="auto" w:fill="F2F2F2" w:themeFill="background1" w:themeFillShade="F2"/>
          </w:tcPr>
          <w:p w14:paraId="4EE31230" w14:textId="77777777" w:rsidR="001F3434" w:rsidRPr="001E2D25" w:rsidRDefault="001E2D25" w:rsidP="001E0D08">
            <w:pPr>
              <w:jc w:val="both"/>
              <w:rPr>
                <w:rFonts w:cs="Arial"/>
                <w:b/>
              </w:rPr>
            </w:pPr>
            <w:r>
              <w:rPr>
                <w:b/>
              </w:rPr>
              <w:t>3.6</w:t>
            </w:r>
          </w:p>
        </w:tc>
        <w:tc>
          <w:tcPr>
            <w:tcW w:w="8363" w:type="dxa"/>
            <w:gridSpan w:val="6"/>
            <w:shd w:val="clear" w:color="auto" w:fill="F2F2F2" w:themeFill="background1" w:themeFillShade="F2"/>
          </w:tcPr>
          <w:p w14:paraId="783DABD4" w14:textId="77777777" w:rsidR="001F3434" w:rsidRPr="001E2D25" w:rsidRDefault="001E2D25" w:rsidP="001F3434">
            <w:pPr>
              <w:rPr>
                <w:rStyle w:val="StandardnurWort"/>
                <w:b/>
              </w:rPr>
            </w:pPr>
            <w:r>
              <w:rPr>
                <w:rStyle w:val="StandardnurWort"/>
                <w:b/>
              </w:rPr>
              <w:t>General exclusion of substances with certain properties</w:t>
            </w:r>
          </w:p>
        </w:tc>
      </w:tr>
      <w:tr w:rsidR="001F3434" w14:paraId="15724FB8" w14:textId="77777777" w:rsidTr="00D13A96">
        <w:tc>
          <w:tcPr>
            <w:tcW w:w="1413" w:type="dxa"/>
          </w:tcPr>
          <w:p w14:paraId="2127ADC9" w14:textId="77777777" w:rsidR="001F3434" w:rsidRDefault="001F3434" w:rsidP="001E0D08">
            <w:pPr>
              <w:jc w:val="both"/>
              <w:rPr>
                <w:rFonts w:cs="Arial"/>
              </w:rPr>
            </w:pPr>
          </w:p>
        </w:tc>
        <w:tc>
          <w:tcPr>
            <w:tcW w:w="8363" w:type="dxa"/>
            <w:gridSpan w:val="6"/>
          </w:tcPr>
          <w:p w14:paraId="0A42CAF8" w14:textId="77777777" w:rsidR="001E2D25" w:rsidRDefault="001E2D25" w:rsidP="001E2D25">
            <w:r>
              <w:t>No substances may be added as colourants (incl, printing inks, toners, dyes), coating materials, production aids and paper refining agents that contain constituent components with the following properties:</w:t>
            </w:r>
          </w:p>
          <w:p w14:paraId="3F71427E" w14:textId="77777777" w:rsidR="001E2D25" w:rsidRPr="006D2D20" w:rsidRDefault="001E2D25" w:rsidP="001E2D25">
            <w:pPr>
              <w:pStyle w:val="AufzhlungBuchstabe"/>
            </w:pPr>
            <w:r>
              <w:t>It is prohibited to add substances of very high concern (SVHC) that have been identified as being particularly alarming in accordance with Article 57, Paragraph 1 of Regulation (EC) No 1907/2006 (REACH) and added to the so-called “candidate list” according to Article 59, Paragraph 1 of the same regulation</w:t>
            </w:r>
            <w:r w:rsidRPr="006D2D20">
              <w:rPr>
                <w:rStyle w:val="Funotenzeichen"/>
              </w:rPr>
              <w:footnoteReference w:id="6"/>
            </w:r>
            <w:r>
              <w:t xml:space="preserve">. </w:t>
            </w:r>
          </w:p>
          <w:p w14:paraId="7710B0AA" w14:textId="77777777" w:rsidR="001E2D25" w:rsidRPr="006D2D20" w:rsidRDefault="001E2D25" w:rsidP="001E2D25">
            <w:pPr>
              <w:pStyle w:val="AufzhlungBuchstabe"/>
            </w:pPr>
            <w:r>
              <w:t>No substances may be added to the product that</w:t>
            </w:r>
          </w:p>
          <w:p w14:paraId="5656623E" w14:textId="77777777" w:rsidR="001E2D25" w:rsidRPr="006D2D20" w:rsidRDefault="001E2D25" w:rsidP="001E2D25">
            <w:pPr>
              <w:pStyle w:val="AufzhlungPunkt2"/>
            </w:pPr>
            <w:r>
              <w:t>according to the criteria of Regulation (EC) No 1272/2008 are classified with the following H Phrases named in Table 2 or which meet the criteria for such classification.</w:t>
            </w:r>
          </w:p>
          <w:p w14:paraId="4B03C15C" w14:textId="77777777" w:rsidR="001E2D25" w:rsidRDefault="001E2D25" w:rsidP="001E2D25">
            <w:pPr>
              <w:pStyle w:val="AufzhlungPunkt2"/>
            </w:pPr>
            <w:r>
              <w:t>or which are classified as carcinogenic, mutagenic or reprotoxic substances in the currently valid version of TRGS 905</w:t>
            </w:r>
            <w:hyperlink w:anchor="_bookmark13" w:history="1">
              <w:r w:rsidRPr="006D2D20">
                <w:rPr>
                  <w:rStyle w:val="Funotenzeichen"/>
                </w:rPr>
                <w:footnoteReference w:id="7"/>
              </w:r>
            </w:hyperlink>
            <w:r>
              <w:t>.</w:t>
            </w:r>
          </w:p>
          <w:p w14:paraId="6A1DC248" w14:textId="77777777" w:rsidR="001E2D25" w:rsidRDefault="001E2D25" w:rsidP="001E2D25">
            <w:pPr>
              <w:pStyle w:val="AufzhlungPunkt2"/>
              <w:numPr>
                <w:ilvl w:val="0"/>
                <w:numId w:val="0"/>
              </w:numPr>
            </w:pPr>
          </w:p>
          <w:p w14:paraId="12B33886" w14:textId="77777777" w:rsidR="001E2D25" w:rsidRDefault="001E2D25" w:rsidP="001E2D25">
            <w:pPr>
              <w:pStyle w:val="Standardklein"/>
            </w:pPr>
            <w:r>
              <w:t xml:space="preserve">Table </w:t>
            </w:r>
            <w:r w:rsidR="006E56E0">
              <w:fldChar w:fldCharType="begin"/>
            </w:r>
            <w:r w:rsidR="006E56E0">
              <w:instrText xml:space="preserve"> SEQ Tabelle \* ARABIC </w:instrText>
            </w:r>
            <w:r w:rsidR="006E56E0">
              <w:fldChar w:fldCharType="separate"/>
            </w:r>
            <w:r w:rsidR="00B16518">
              <w:rPr>
                <w:noProof/>
              </w:rPr>
              <w:t>2</w:t>
            </w:r>
            <w:r w:rsidR="006E56E0">
              <w:rPr>
                <w:noProof/>
              </w:rPr>
              <w:fldChar w:fldCharType="end"/>
            </w:r>
            <w:r>
              <w:t>: H Phrases according to the CLP Regulation</w:t>
            </w:r>
          </w:p>
          <w:tbl>
            <w:tblPr>
              <w:tblStyle w:val="TabellefrVergabegrundlageKopfzeilegrau"/>
              <w:tblW w:w="0" w:type="auto"/>
              <w:tblLook w:val="04A0" w:firstRow="1" w:lastRow="0" w:firstColumn="1" w:lastColumn="0" w:noHBand="0" w:noVBand="1"/>
            </w:tblPr>
            <w:tblGrid>
              <w:gridCol w:w="1887"/>
              <w:gridCol w:w="6250"/>
            </w:tblGrid>
            <w:tr w:rsidR="001E2D25" w14:paraId="476B4102" w14:textId="77777777" w:rsidTr="000705AE">
              <w:trPr>
                <w:cnfStyle w:val="100000000000" w:firstRow="1" w:lastRow="0" w:firstColumn="0" w:lastColumn="0" w:oddVBand="0" w:evenVBand="0" w:oddHBand="0" w:evenHBand="0" w:firstRowFirstColumn="0" w:firstRowLastColumn="0" w:lastRowFirstColumn="0" w:lastRowLastColumn="0"/>
              </w:trPr>
              <w:tc>
                <w:tcPr>
                  <w:tcW w:w="2122" w:type="dxa"/>
                </w:tcPr>
                <w:p w14:paraId="008C2388" w14:textId="77777777" w:rsidR="001E2D25" w:rsidRPr="00635B8F" w:rsidRDefault="001E2D25" w:rsidP="001E2D25">
                  <w:pPr>
                    <w:pStyle w:val="Tabellentextfettkleinlinksbndig"/>
                  </w:pPr>
                  <w:r>
                    <w:t>H Phrases according to the</w:t>
                  </w:r>
                </w:p>
                <w:p w14:paraId="1B3BCA63" w14:textId="77777777" w:rsidR="001E2D25" w:rsidRDefault="001E2D25" w:rsidP="001E2D25">
                  <w:pPr>
                    <w:pStyle w:val="Tabellentextfettkleinlinksbndig"/>
                  </w:pPr>
                  <w:r>
                    <w:t>CLP Regulation</w:t>
                  </w:r>
                </w:p>
              </w:tc>
              <w:tc>
                <w:tcPr>
                  <w:tcW w:w="7506" w:type="dxa"/>
                </w:tcPr>
                <w:p w14:paraId="5FCFF15C" w14:textId="77777777" w:rsidR="001E2D25" w:rsidRDefault="001E2D25" w:rsidP="001E2D25">
                  <w:pPr>
                    <w:pStyle w:val="Tabellentextfettkleinlinksbndig"/>
                  </w:pPr>
                  <w:r>
                    <w:t>Wording</w:t>
                  </w:r>
                </w:p>
              </w:tc>
            </w:tr>
            <w:tr w:rsidR="001E2D25" w14:paraId="3C75BF3F" w14:textId="77777777" w:rsidTr="000705AE">
              <w:tc>
                <w:tcPr>
                  <w:tcW w:w="2122" w:type="dxa"/>
                </w:tcPr>
                <w:p w14:paraId="78A9BF24" w14:textId="77777777" w:rsidR="001E2D25" w:rsidRPr="00635B8F" w:rsidRDefault="001E2D25" w:rsidP="001E2D25">
                  <w:pPr>
                    <w:pStyle w:val="Tabellentextstandardkleinlinksbndig"/>
                  </w:pPr>
                  <w:r>
                    <w:t>H340</w:t>
                  </w:r>
                </w:p>
              </w:tc>
              <w:tc>
                <w:tcPr>
                  <w:tcW w:w="7506" w:type="dxa"/>
                </w:tcPr>
                <w:p w14:paraId="2316CAFB" w14:textId="77777777" w:rsidR="001E2D25" w:rsidRPr="00E32A28" w:rsidRDefault="001E2D25" w:rsidP="001E2D25">
                  <w:pPr>
                    <w:pStyle w:val="Tabellentextstandardkleinlinksbndig"/>
                  </w:pPr>
                  <w:r>
                    <w:t>May cause genetic defects.</w:t>
                  </w:r>
                </w:p>
              </w:tc>
            </w:tr>
            <w:tr w:rsidR="001E2D25" w14:paraId="4F6D62F7" w14:textId="77777777" w:rsidTr="000705AE">
              <w:tc>
                <w:tcPr>
                  <w:tcW w:w="2122" w:type="dxa"/>
                </w:tcPr>
                <w:p w14:paraId="0C36B958" w14:textId="77777777" w:rsidR="001E2D25" w:rsidRPr="00635B8F" w:rsidRDefault="001E2D25" w:rsidP="001E2D25">
                  <w:pPr>
                    <w:pStyle w:val="Tabellentextstandardkleinlinksbndig"/>
                  </w:pPr>
                  <w:r>
                    <w:t>H341</w:t>
                  </w:r>
                </w:p>
              </w:tc>
              <w:tc>
                <w:tcPr>
                  <w:tcW w:w="7506" w:type="dxa"/>
                </w:tcPr>
                <w:p w14:paraId="2A711633" w14:textId="77777777" w:rsidR="001E2D25" w:rsidRPr="00E32A28" w:rsidRDefault="001E2D25" w:rsidP="001E2D25">
                  <w:pPr>
                    <w:pStyle w:val="Tabellentextstandardkleinlinksbndig"/>
                  </w:pPr>
                  <w:r>
                    <w:t>Suspected of causing genetic defects.</w:t>
                  </w:r>
                </w:p>
              </w:tc>
            </w:tr>
            <w:tr w:rsidR="001E2D25" w14:paraId="77E5E4B2" w14:textId="77777777" w:rsidTr="000705AE">
              <w:tc>
                <w:tcPr>
                  <w:tcW w:w="2122" w:type="dxa"/>
                </w:tcPr>
                <w:p w14:paraId="327A7FAA" w14:textId="77777777" w:rsidR="001E2D25" w:rsidRPr="00635B8F" w:rsidRDefault="001E2D25" w:rsidP="001E2D25">
                  <w:pPr>
                    <w:pStyle w:val="Tabellentextstandardkleinlinksbndig"/>
                  </w:pPr>
                  <w:r>
                    <w:lastRenderedPageBreak/>
                    <w:t>H350</w:t>
                  </w:r>
                </w:p>
              </w:tc>
              <w:tc>
                <w:tcPr>
                  <w:tcW w:w="7506" w:type="dxa"/>
                </w:tcPr>
                <w:p w14:paraId="20805FBF" w14:textId="77777777" w:rsidR="001E2D25" w:rsidRPr="00E32A28" w:rsidRDefault="001E2D25" w:rsidP="001E2D25">
                  <w:pPr>
                    <w:pStyle w:val="Tabellentextstandardkleinlinksbndig"/>
                  </w:pPr>
                  <w:r>
                    <w:t>May cause cancer.</w:t>
                  </w:r>
                </w:p>
              </w:tc>
            </w:tr>
            <w:tr w:rsidR="001E2D25" w14:paraId="6AEC1910" w14:textId="77777777" w:rsidTr="000705AE">
              <w:tc>
                <w:tcPr>
                  <w:tcW w:w="2122" w:type="dxa"/>
                </w:tcPr>
                <w:p w14:paraId="4983775A" w14:textId="77777777" w:rsidR="001E2D25" w:rsidRPr="00635B8F" w:rsidRDefault="001E2D25" w:rsidP="001E2D25">
                  <w:pPr>
                    <w:pStyle w:val="Tabellentextstandardkleinlinksbndig"/>
                  </w:pPr>
                  <w:r>
                    <w:t>H350i</w:t>
                  </w:r>
                </w:p>
              </w:tc>
              <w:tc>
                <w:tcPr>
                  <w:tcW w:w="7506" w:type="dxa"/>
                </w:tcPr>
                <w:p w14:paraId="538686BE" w14:textId="77777777" w:rsidR="001E2D25" w:rsidRPr="00E32A28" w:rsidRDefault="001E2D25" w:rsidP="001E2D25">
                  <w:pPr>
                    <w:pStyle w:val="Tabellentextstandardkleinlinksbndig"/>
                  </w:pPr>
                  <w:r>
                    <w:t>May cause cancer if inhaled.</w:t>
                  </w:r>
                </w:p>
              </w:tc>
            </w:tr>
            <w:tr w:rsidR="001E2D25" w14:paraId="08E8F95C" w14:textId="77777777" w:rsidTr="000705AE">
              <w:tc>
                <w:tcPr>
                  <w:tcW w:w="2122" w:type="dxa"/>
                </w:tcPr>
                <w:p w14:paraId="7E8A662E" w14:textId="77777777" w:rsidR="001E2D25" w:rsidRPr="00635B8F" w:rsidRDefault="001E2D25" w:rsidP="001E2D25">
                  <w:pPr>
                    <w:pStyle w:val="Tabellentextstandardkleinlinksbndig"/>
                  </w:pPr>
                  <w:r>
                    <w:t>H351</w:t>
                  </w:r>
                  <w:r w:rsidRPr="00635B8F">
                    <w:rPr>
                      <w:rStyle w:val="Funotenzeichen"/>
                    </w:rPr>
                    <w:footnoteReference w:id="8"/>
                  </w:r>
                </w:p>
              </w:tc>
              <w:tc>
                <w:tcPr>
                  <w:tcW w:w="7506" w:type="dxa"/>
                </w:tcPr>
                <w:p w14:paraId="1E7EFE28" w14:textId="77777777" w:rsidR="001E2D25" w:rsidRPr="00E32A28" w:rsidRDefault="001E2D25" w:rsidP="001E2D25">
                  <w:pPr>
                    <w:pStyle w:val="Tabellentextstandardkleinlinksbndig"/>
                  </w:pPr>
                  <w:r>
                    <w:t>Suspected of causing cancer.</w:t>
                  </w:r>
                </w:p>
              </w:tc>
            </w:tr>
            <w:tr w:rsidR="001E2D25" w14:paraId="417F475D" w14:textId="77777777" w:rsidTr="000705AE">
              <w:tc>
                <w:tcPr>
                  <w:tcW w:w="2122" w:type="dxa"/>
                </w:tcPr>
                <w:p w14:paraId="6CB2F411" w14:textId="77777777" w:rsidR="001E2D25" w:rsidRPr="00635B8F" w:rsidRDefault="001E2D25" w:rsidP="001E2D25">
                  <w:pPr>
                    <w:pStyle w:val="Tabellentextstandardkleinlinksbndig"/>
                  </w:pPr>
                  <w:r>
                    <w:t>H360F</w:t>
                  </w:r>
                </w:p>
              </w:tc>
              <w:tc>
                <w:tcPr>
                  <w:tcW w:w="7506" w:type="dxa"/>
                </w:tcPr>
                <w:p w14:paraId="284A327A" w14:textId="77777777" w:rsidR="001E2D25" w:rsidRPr="00E32A28" w:rsidRDefault="001E2D25" w:rsidP="001E2D25">
                  <w:pPr>
                    <w:pStyle w:val="Tabellentextstandardkleinlinksbndig"/>
                  </w:pPr>
                  <w:r>
                    <w:t>May damage fertility.</w:t>
                  </w:r>
                </w:p>
              </w:tc>
            </w:tr>
            <w:tr w:rsidR="001E2D25" w14:paraId="6FE0B36C" w14:textId="77777777" w:rsidTr="000705AE">
              <w:tc>
                <w:tcPr>
                  <w:tcW w:w="2122" w:type="dxa"/>
                </w:tcPr>
                <w:p w14:paraId="4AE19AD8" w14:textId="77777777" w:rsidR="001E2D25" w:rsidRPr="00635B8F" w:rsidRDefault="001E2D25" w:rsidP="001E2D25">
                  <w:pPr>
                    <w:pStyle w:val="Tabellentextstandardkleinlinksbndig"/>
                  </w:pPr>
                  <w:r>
                    <w:t>H360D</w:t>
                  </w:r>
                </w:p>
              </w:tc>
              <w:tc>
                <w:tcPr>
                  <w:tcW w:w="7506" w:type="dxa"/>
                </w:tcPr>
                <w:p w14:paraId="4BFE2510" w14:textId="77777777" w:rsidR="001E2D25" w:rsidRPr="00E32A28" w:rsidRDefault="001E2D25" w:rsidP="001E2D25">
                  <w:pPr>
                    <w:pStyle w:val="Tabellentextstandardkleinlinksbndig"/>
                  </w:pPr>
                  <w:r>
                    <w:t>May damage the unborn child.</w:t>
                  </w:r>
                </w:p>
              </w:tc>
            </w:tr>
            <w:tr w:rsidR="001E2D25" w14:paraId="77429E3B" w14:textId="77777777" w:rsidTr="000705AE">
              <w:tc>
                <w:tcPr>
                  <w:tcW w:w="2122" w:type="dxa"/>
                </w:tcPr>
                <w:p w14:paraId="1A50238F" w14:textId="77777777" w:rsidR="001E2D25" w:rsidRPr="00635B8F" w:rsidRDefault="001E2D25" w:rsidP="001E2D25">
                  <w:pPr>
                    <w:pStyle w:val="Tabellentextstandardkleinlinksbndig"/>
                  </w:pPr>
                  <w:r>
                    <w:t>H360FD</w:t>
                  </w:r>
                </w:p>
              </w:tc>
              <w:tc>
                <w:tcPr>
                  <w:tcW w:w="7506" w:type="dxa"/>
                </w:tcPr>
                <w:p w14:paraId="0F70D907" w14:textId="77777777" w:rsidR="001E2D25" w:rsidRPr="00E32A28" w:rsidRDefault="001E2D25" w:rsidP="001E2D25">
                  <w:pPr>
                    <w:pStyle w:val="Tabellentextstandardkleinlinksbndig"/>
                  </w:pPr>
                  <w:r>
                    <w:t>May damage fertility. May damage the unborn child.</w:t>
                  </w:r>
                </w:p>
              </w:tc>
            </w:tr>
            <w:tr w:rsidR="001E2D25" w14:paraId="0052DF10" w14:textId="77777777" w:rsidTr="000705AE">
              <w:tc>
                <w:tcPr>
                  <w:tcW w:w="2122" w:type="dxa"/>
                </w:tcPr>
                <w:p w14:paraId="51BD4295" w14:textId="77777777" w:rsidR="001E2D25" w:rsidRPr="00635B8F" w:rsidRDefault="001E2D25" w:rsidP="001E2D25">
                  <w:pPr>
                    <w:pStyle w:val="Tabellentextstandardkleinlinksbndig"/>
                  </w:pPr>
                  <w:r>
                    <w:t>H360Fd</w:t>
                  </w:r>
                </w:p>
              </w:tc>
              <w:tc>
                <w:tcPr>
                  <w:tcW w:w="7506" w:type="dxa"/>
                </w:tcPr>
                <w:p w14:paraId="64B01F6D" w14:textId="77777777" w:rsidR="001E2D25" w:rsidRPr="00E32A28" w:rsidRDefault="001E2D25" w:rsidP="001E2D25">
                  <w:pPr>
                    <w:pStyle w:val="Tabellentextstandardkleinlinksbndig"/>
                  </w:pPr>
                  <w:r>
                    <w:t>May damage fertility.</w:t>
                  </w:r>
                </w:p>
                <w:p w14:paraId="53B27582" w14:textId="77777777" w:rsidR="001E2D25" w:rsidRPr="00E32A28" w:rsidRDefault="001E2D25" w:rsidP="001E2D25">
                  <w:pPr>
                    <w:pStyle w:val="Tabellentextstandardkleinlinksbndig"/>
                  </w:pPr>
                  <w:r>
                    <w:t>Suspected of damaging the unborn child.</w:t>
                  </w:r>
                </w:p>
              </w:tc>
            </w:tr>
            <w:tr w:rsidR="001E2D25" w14:paraId="38423B29" w14:textId="77777777" w:rsidTr="000705AE">
              <w:tc>
                <w:tcPr>
                  <w:tcW w:w="2122" w:type="dxa"/>
                </w:tcPr>
                <w:p w14:paraId="06440C55" w14:textId="77777777" w:rsidR="001E2D25" w:rsidRPr="00635B8F" w:rsidRDefault="001E2D25" w:rsidP="001E2D25">
                  <w:pPr>
                    <w:pStyle w:val="Tabellentextstandardkleinlinksbndig"/>
                  </w:pPr>
                  <w:r>
                    <w:t>H360Df</w:t>
                  </w:r>
                </w:p>
              </w:tc>
              <w:tc>
                <w:tcPr>
                  <w:tcW w:w="7506" w:type="dxa"/>
                </w:tcPr>
                <w:p w14:paraId="7B99D019" w14:textId="77777777" w:rsidR="001E2D25" w:rsidRPr="00E32A28" w:rsidRDefault="001E2D25" w:rsidP="001E2D25">
                  <w:pPr>
                    <w:pStyle w:val="Tabellentextstandardkleinlinksbndig"/>
                  </w:pPr>
                  <w:r>
                    <w:t>May damage the unborn child.</w:t>
                  </w:r>
                </w:p>
                <w:p w14:paraId="56D158A3" w14:textId="77777777" w:rsidR="001E2D25" w:rsidRPr="00E32A28" w:rsidRDefault="001E2D25" w:rsidP="001E2D25">
                  <w:pPr>
                    <w:pStyle w:val="Tabellentextstandardkleinlinksbndig"/>
                  </w:pPr>
                  <w:r>
                    <w:t>Suspected of damaging fertility.</w:t>
                  </w:r>
                </w:p>
              </w:tc>
            </w:tr>
            <w:tr w:rsidR="001E2D25" w14:paraId="25C51C55" w14:textId="77777777" w:rsidTr="000705AE">
              <w:tc>
                <w:tcPr>
                  <w:tcW w:w="2122" w:type="dxa"/>
                </w:tcPr>
                <w:p w14:paraId="5FE4547B" w14:textId="77777777" w:rsidR="001E2D25" w:rsidRPr="00635B8F" w:rsidRDefault="001E2D25" w:rsidP="001E2D25">
                  <w:pPr>
                    <w:pStyle w:val="Tabellentextstandardkleinlinksbndig"/>
                  </w:pPr>
                  <w:r>
                    <w:t>H361f</w:t>
                  </w:r>
                </w:p>
              </w:tc>
              <w:tc>
                <w:tcPr>
                  <w:tcW w:w="7506" w:type="dxa"/>
                </w:tcPr>
                <w:p w14:paraId="5589E28D" w14:textId="77777777" w:rsidR="001E2D25" w:rsidRPr="00E32A28" w:rsidRDefault="001E2D25" w:rsidP="001E2D25">
                  <w:pPr>
                    <w:pStyle w:val="Tabellentextstandardkleinlinksbndig"/>
                  </w:pPr>
                  <w:r>
                    <w:t>Suspected of damaging fertility.</w:t>
                  </w:r>
                </w:p>
              </w:tc>
            </w:tr>
            <w:tr w:rsidR="001E2D25" w14:paraId="67958894" w14:textId="77777777" w:rsidTr="000705AE">
              <w:tc>
                <w:tcPr>
                  <w:tcW w:w="2122" w:type="dxa"/>
                </w:tcPr>
                <w:p w14:paraId="15DCABF1" w14:textId="77777777" w:rsidR="001E2D25" w:rsidRPr="00635B8F" w:rsidRDefault="001E2D25" w:rsidP="001E2D25">
                  <w:pPr>
                    <w:pStyle w:val="Tabellentextstandardkleinlinksbndig"/>
                  </w:pPr>
                  <w:r>
                    <w:t>H361d</w:t>
                  </w:r>
                </w:p>
              </w:tc>
              <w:tc>
                <w:tcPr>
                  <w:tcW w:w="7506" w:type="dxa"/>
                </w:tcPr>
                <w:p w14:paraId="4DBD05D5" w14:textId="77777777" w:rsidR="001E2D25" w:rsidRPr="00E32A28" w:rsidRDefault="001E2D25" w:rsidP="001E2D25">
                  <w:pPr>
                    <w:pStyle w:val="Tabellentextstandardkleinlinksbndig"/>
                  </w:pPr>
                  <w:r>
                    <w:t>Suspected of damaging the unborn child.</w:t>
                  </w:r>
                </w:p>
              </w:tc>
            </w:tr>
            <w:tr w:rsidR="001E2D25" w14:paraId="4D8E3D21" w14:textId="77777777" w:rsidTr="000705AE">
              <w:tc>
                <w:tcPr>
                  <w:tcW w:w="2122" w:type="dxa"/>
                </w:tcPr>
                <w:p w14:paraId="6EA58B8D" w14:textId="77777777" w:rsidR="001E2D25" w:rsidRPr="00635B8F" w:rsidRDefault="001E2D25" w:rsidP="001E2D25">
                  <w:pPr>
                    <w:pStyle w:val="Tabellentextstandardkleinlinksbndig"/>
                  </w:pPr>
                  <w:r>
                    <w:t>H361fd</w:t>
                  </w:r>
                </w:p>
              </w:tc>
              <w:tc>
                <w:tcPr>
                  <w:tcW w:w="7506" w:type="dxa"/>
                </w:tcPr>
                <w:p w14:paraId="5FE78EBE" w14:textId="77777777" w:rsidR="001E2D25" w:rsidRPr="00E32A28" w:rsidRDefault="001E2D25" w:rsidP="001E2D25">
                  <w:pPr>
                    <w:pStyle w:val="Tabellentextstandardkleinlinksbndig"/>
                  </w:pPr>
                  <w:r>
                    <w:t>Suspected of damaging fertility.</w:t>
                  </w:r>
                </w:p>
                <w:p w14:paraId="515BE5DD" w14:textId="77777777" w:rsidR="001E2D25" w:rsidRPr="00E32A28" w:rsidRDefault="001E2D25" w:rsidP="001E2D25">
                  <w:pPr>
                    <w:pStyle w:val="Tabellentextstandardkleinlinksbndig"/>
                  </w:pPr>
                  <w:r>
                    <w:t>Suspected of damaging the unborn child.</w:t>
                  </w:r>
                </w:p>
              </w:tc>
            </w:tr>
            <w:tr w:rsidR="001E2D25" w14:paraId="011FE7CF" w14:textId="77777777" w:rsidTr="000705AE">
              <w:tc>
                <w:tcPr>
                  <w:tcW w:w="9628" w:type="dxa"/>
                  <w:gridSpan w:val="2"/>
                </w:tcPr>
                <w:p w14:paraId="64CBFFC4" w14:textId="77777777" w:rsidR="001E2D25" w:rsidRPr="00E32A28" w:rsidRDefault="001E2D25" w:rsidP="001E2D25">
                  <w:pPr>
                    <w:pStyle w:val="Tabellentextfettkleinlinksbndig"/>
                  </w:pPr>
                  <w:r>
                    <w:t>Other potential hazards</w:t>
                  </w:r>
                </w:p>
              </w:tc>
            </w:tr>
            <w:tr w:rsidR="001E2D25" w14:paraId="26935B1D" w14:textId="77777777" w:rsidTr="000705AE">
              <w:tc>
                <w:tcPr>
                  <w:tcW w:w="2122" w:type="dxa"/>
                </w:tcPr>
                <w:p w14:paraId="400CAF5D" w14:textId="77777777" w:rsidR="001E2D25" w:rsidRPr="00635B8F" w:rsidRDefault="001E2D25" w:rsidP="001E2D25">
                  <w:pPr>
                    <w:pStyle w:val="Tabellentextstandardkleinlinksbndig"/>
                  </w:pPr>
                  <w:r>
                    <w:t>H362</w:t>
                  </w:r>
                </w:p>
              </w:tc>
              <w:tc>
                <w:tcPr>
                  <w:tcW w:w="7506" w:type="dxa"/>
                </w:tcPr>
                <w:p w14:paraId="41B06159" w14:textId="77777777" w:rsidR="001E2D25" w:rsidRPr="00635B8F" w:rsidRDefault="001E2D25" w:rsidP="001E2D25">
                  <w:pPr>
                    <w:pStyle w:val="Tabellentextstandardkleinlinksbndig"/>
                  </w:pPr>
                  <w:r>
                    <w:t>May cause harm to breast fed children.</w:t>
                  </w:r>
                </w:p>
              </w:tc>
            </w:tr>
            <w:tr w:rsidR="001E2D25" w14:paraId="34C53C98" w14:textId="77777777" w:rsidTr="000705AE">
              <w:tc>
                <w:tcPr>
                  <w:tcW w:w="2122" w:type="dxa"/>
                </w:tcPr>
                <w:p w14:paraId="7E1B41D2" w14:textId="77777777" w:rsidR="001E2D25" w:rsidRPr="00635B8F" w:rsidRDefault="001E2D25" w:rsidP="001E2D25">
                  <w:pPr>
                    <w:pStyle w:val="Tabellentextstandardkleinlinksbndig"/>
                  </w:pPr>
                  <w:r>
                    <w:t>H370</w:t>
                  </w:r>
                </w:p>
              </w:tc>
              <w:tc>
                <w:tcPr>
                  <w:tcW w:w="7506" w:type="dxa"/>
                </w:tcPr>
                <w:p w14:paraId="76B910C5" w14:textId="77777777" w:rsidR="001E2D25" w:rsidRPr="00635B8F" w:rsidRDefault="001E2D25" w:rsidP="001E2D25">
                  <w:pPr>
                    <w:pStyle w:val="Tabellentextstandardkleinlinksbndig"/>
                  </w:pPr>
                  <w:r>
                    <w:t>Causes damage to organs.</w:t>
                  </w:r>
                </w:p>
              </w:tc>
            </w:tr>
            <w:tr w:rsidR="001E2D25" w14:paraId="1085F636" w14:textId="77777777" w:rsidTr="000705AE">
              <w:tc>
                <w:tcPr>
                  <w:tcW w:w="2122" w:type="dxa"/>
                </w:tcPr>
                <w:p w14:paraId="0DB263C5" w14:textId="77777777" w:rsidR="001E2D25" w:rsidRPr="00635B8F" w:rsidRDefault="001E2D25" w:rsidP="001E2D25">
                  <w:pPr>
                    <w:pStyle w:val="Tabellentextstandardkleinlinksbndig"/>
                  </w:pPr>
                  <w:r>
                    <w:t>H371</w:t>
                  </w:r>
                </w:p>
              </w:tc>
              <w:tc>
                <w:tcPr>
                  <w:tcW w:w="7506" w:type="dxa"/>
                </w:tcPr>
                <w:p w14:paraId="0FAA3A29" w14:textId="77777777" w:rsidR="001E2D25" w:rsidRPr="00635B8F" w:rsidRDefault="001E2D25" w:rsidP="001E2D25">
                  <w:pPr>
                    <w:pStyle w:val="Tabellentextstandardkleinlinksbndig"/>
                  </w:pPr>
                  <w:r>
                    <w:t>May cause damage to organs.</w:t>
                  </w:r>
                </w:p>
              </w:tc>
            </w:tr>
            <w:tr w:rsidR="001E2D25" w14:paraId="714B8791" w14:textId="77777777" w:rsidTr="000705AE">
              <w:tc>
                <w:tcPr>
                  <w:tcW w:w="2122" w:type="dxa"/>
                </w:tcPr>
                <w:p w14:paraId="7E433BBF" w14:textId="77777777" w:rsidR="001E2D25" w:rsidRPr="00635B8F" w:rsidRDefault="001E2D25" w:rsidP="001E2D25">
                  <w:pPr>
                    <w:pStyle w:val="Tabellentextstandardkleinlinksbndig"/>
                  </w:pPr>
                  <w:r>
                    <w:t>H372</w:t>
                  </w:r>
                </w:p>
              </w:tc>
              <w:tc>
                <w:tcPr>
                  <w:tcW w:w="7506" w:type="dxa"/>
                </w:tcPr>
                <w:p w14:paraId="74580F30" w14:textId="77777777" w:rsidR="001E2D25" w:rsidRPr="00635B8F" w:rsidRDefault="001E2D25" w:rsidP="001E2D25">
                  <w:pPr>
                    <w:pStyle w:val="Tabellentextstandardkleinlinksbndig"/>
                  </w:pPr>
                  <w:r>
                    <w:t>Causes damage to organs through prolonged or repeated exposure.</w:t>
                  </w:r>
                </w:p>
              </w:tc>
            </w:tr>
            <w:tr w:rsidR="001E2D25" w14:paraId="77134DF7" w14:textId="77777777" w:rsidTr="000705AE">
              <w:tc>
                <w:tcPr>
                  <w:tcW w:w="2122" w:type="dxa"/>
                </w:tcPr>
                <w:p w14:paraId="799CAB80" w14:textId="77777777" w:rsidR="001E2D25" w:rsidRPr="00635B8F" w:rsidRDefault="001E2D25" w:rsidP="001E2D25">
                  <w:pPr>
                    <w:pStyle w:val="Tabellentextstandardkleinlinksbndig"/>
                  </w:pPr>
                  <w:r>
                    <w:t>H373</w:t>
                  </w:r>
                </w:p>
              </w:tc>
              <w:tc>
                <w:tcPr>
                  <w:tcW w:w="7506" w:type="dxa"/>
                </w:tcPr>
                <w:p w14:paraId="0A6C4803" w14:textId="77777777" w:rsidR="001E2D25" w:rsidRPr="00635B8F" w:rsidRDefault="001E2D25" w:rsidP="001E2D25">
                  <w:pPr>
                    <w:pStyle w:val="Tabellentextstandardkleinlinksbndig"/>
                  </w:pPr>
                  <w:r>
                    <w:t>May cause damage to organs through prolonged or repeated exposure.</w:t>
                  </w:r>
                </w:p>
              </w:tc>
            </w:tr>
            <w:tr w:rsidR="001E2D25" w14:paraId="32154A8D" w14:textId="77777777" w:rsidTr="000705AE">
              <w:tc>
                <w:tcPr>
                  <w:tcW w:w="2122" w:type="dxa"/>
                </w:tcPr>
                <w:p w14:paraId="3AA2E362" w14:textId="77777777" w:rsidR="001E2D25" w:rsidRPr="00635B8F" w:rsidRDefault="001E2D25" w:rsidP="001E2D25">
                  <w:pPr>
                    <w:pStyle w:val="Tabellentextstandardkleinlinksbndig"/>
                  </w:pPr>
                  <w:r>
                    <w:t>H400</w:t>
                  </w:r>
                </w:p>
              </w:tc>
              <w:tc>
                <w:tcPr>
                  <w:tcW w:w="7506" w:type="dxa"/>
                </w:tcPr>
                <w:p w14:paraId="15F9FAC0" w14:textId="77777777" w:rsidR="001E2D25" w:rsidRPr="000A1F0A" w:rsidRDefault="001E2D25" w:rsidP="001E2D25">
                  <w:pPr>
                    <w:pStyle w:val="Tabellentextstandardkleinlinksbndig"/>
                    <w:rPr>
                      <w:szCs w:val="20"/>
                    </w:rPr>
                  </w:pPr>
                  <w:r>
                    <w:t>Very toxic to aquatic life.</w:t>
                  </w:r>
                </w:p>
              </w:tc>
            </w:tr>
            <w:tr w:rsidR="001E2D25" w14:paraId="0E7C31E9" w14:textId="77777777" w:rsidTr="000705AE">
              <w:tc>
                <w:tcPr>
                  <w:tcW w:w="2122" w:type="dxa"/>
                </w:tcPr>
                <w:p w14:paraId="75D9E2E7" w14:textId="77777777" w:rsidR="001E2D25" w:rsidRPr="00635B8F" w:rsidRDefault="001E2D25" w:rsidP="001E2D25">
                  <w:pPr>
                    <w:pStyle w:val="Tabellentextstandardkleinlinksbndig"/>
                  </w:pPr>
                  <w:r>
                    <w:t>H410</w:t>
                  </w:r>
                </w:p>
              </w:tc>
              <w:tc>
                <w:tcPr>
                  <w:tcW w:w="7506" w:type="dxa"/>
                </w:tcPr>
                <w:p w14:paraId="42E2B666" w14:textId="77777777" w:rsidR="001E2D25" w:rsidRPr="000A1F0A" w:rsidRDefault="001E2D25" w:rsidP="001E2D25">
                  <w:pPr>
                    <w:pStyle w:val="Tabellentextstandardkleinlinksbndig"/>
                    <w:rPr>
                      <w:szCs w:val="20"/>
                    </w:rPr>
                  </w:pPr>
                  <w:r>
                    <w:t>Toxic to aquatic organisms.</w:t>
                  </w:r>
                </w:p>
              </w:tc>
            </w:tr>
            <w:tr w:rsidR="001E2D25" w14:paraId="566DBF85" w14:textId="77777777" w:rsidTr="000705AE">
              <w:tc>
                <w:tcPr>
                  <w:tcW w:w="2122" w:type="dxa"/>
                </w:tcPr>
                <w:p w14:paraId="4D937CBA" w14:textId="77777777" w:rsidR="001E2D25" w:rsidRPr="00635B8F" w:rsidRDefault="001E2D25" w:rsidP="001E2D25">
                  <w:pPr>
                    <w:pStyle w:val="Tabellentextstandardkleinlinksbndig"/>
                  </w:pPr>
                  <w:r>
                    <w:t>H411</w:t>
                  </w:r>
                </w:p>
              </w:tc>
              <w:tc>
                <w:tcPr>
                  <w:tcW w:w="7506" w:type="dxa"/>
                </w:tcPr>
                <w:p w14:paraId="2E24D78B" w14:textId="77777777" w:rsidR="001E2D25" w:rsidRPr="00635B8F" w:rsidRDefault="001E2D25" w:rsidP="001E2D25">
                  <w:pPr>
                    <w:pStyle w:val="Tabellentextstandardkleinlinksbndig"/>
                  </w:pPr>
                  <w:r>
                    <w:t>Toxic to aquatic organisms with long-lasting effects.</w:t>
                  </w:r>
                </w:p>
              </w:tc>
            </w:tr>
          </w:tbl>
          <w:p w14:paraId="4B592ADB" w14:textId="77777777" w:rsidR="001E2D25" w:rsidRDefault="001E2D25" w:rsidP="001E2D25">
            <w:pPr>
              <w:pStyle w:val="AufzhlungPunkt2"/>
              <w:numPr>
                <w:ilvl w:val="0"/>
                <w:numId w:val="0"/>
              </w:numPr>
            </w:pPr>
          </w:p>
          <w:p w14:paraId="36CDEFB9" w14:textId="77777777" w:rsidR="001F3434" w:rsidRPr="00065893" w:rsidRDefault="001E2D25" w:rsidP="001F3434">
            <w:pPr>
              <w:rPr>
                <w:rStyle w:val="StandardnurWort"/>
              </w:rPr>
            </w:pPr>
            <w:r>
              <w:t>The use of substances or mixtures which upon processing change their properties (e.g. become no longer bioavailable, undergo chemical modification) in a way that the identified hazard no longer applies are exempted from the above requirement.</w:t>
            </w:r>
          </w:p>
        </w:tc>
      </w:tr>
      <w:tr w:rsidR="001F3434" w14:paraId="76313D68" w14:textId="77777777" w:rsidTr="00206F07">
        <w:tc>
          <w:tcPr>
            <w:tcW w:w="1413" w:type="dxa"/>
            <w:shd w:val="clear" w:color="auto" w:fill="F2F2F2" w:themeFill="background1" w:themeFillShade="F2"/>
          </w:tcPr>
          <w:p w14:paraId="5D691292" w14:textId="77777777" w:rsidR="001F3434" w:rsidRPr="00206F07" w:rsidRDefault="00206F07" w:rsidP="001E0D08">
            <w:pPr>
              <w:jc w:val="both"/>
              <w:rPr>
                <w:rFonts w:cs="Arial"/>
                <w:b/>
              </w:rPr>
            </w:pPr>
            <w:r>
              <w:rPr>
                <w:b/>
              </w:rPr>
              <w:lastRenderedPageBreak/>
              <w:t>3.7</w:t>
            </w:r>
          </w:p>
        </w:tc>
        <w:tc>
          <w:tcPr>
            <w:tcW w:w="8363" w:type="dxa"/>
            <w:gridSpan w:val="6"/>
            <w:shd w:val="clear" w:color="auto" w:fill="F2F2F2" w:themeFill="background1" w:themeFillShade="F2"/>
          </w:tcPr>
          <w:p w14:paraId="22FA44E1" w14:textId="77777777" w:rsidR="001F3434" w:rsidRPr="00206F07" w:rsidRDefault="00206F07" w:rsidP="001F3434">
            <w:pPr>
              <w:rPr>
                <w:rStyle w:val="StandardnurWort"/>
                <w:b/>
              </w:rPr>
            </w:pPr>
            <w:r>
              <w:rPr>
                <w:rStyle w:val="StandardnurWort"/>
                <w:b/>
              </w:rPr>
              <w:t>Other requirements for production aids and paper refining agents</w:t>
            </w:r>
          </w:p>
        </w:tc>
      </w:tr>
      <w:tr w:rsidR="001F3434" w14:paraId="04FFF144" w14:textId="77777777" w:rsidTr="00D13A96">
        <w:tc>
          <w:tcPr>
            <w:tcW w:w="1413" w:type="dxa"/>
          </w:tcPr>
          <w:p w14:paraId="5A0DBE88" w14:textId="77777777" w:rsidR="001F3434" w:rsidRDefault="001F3434" w:rsidP="001E0D08">
            <w:pPr>
              <w:jc w:val="both"/>
              <w:rPr>
                <w:rFonts w:cs="Arial"/>
              </w:rPr>
            </w:pPr>
          </w:p>
        </w:tc>
        <w:tc>
          <w:tcPr>
            <w:tcW w:w="8363" w:type="dxa"/>
            <w:gridSpan w:val="6"/>
          </w:tcPr>
          <w:p w14:paraId="5C535C11" w14:textId="77777777" w:rsidR="001F3434" w:rsidRPr="00065893" w:rsidRDefault="00206F07" w:rsidP="001F3434">
            <w:pPr>
              <w:rPr>
                <w:rStyle w:val="StandardnurWort"/>
              </w:rPr>
            </w:pPr>
            <w:r>
              <w:rPr>
                <w:rStyle w:val="StandardnurWort"/>
              </w:rPr>
              <w:t xml:space="preserve">Only those production aids and paper refining agents that are listed in </w:t>
            </w:r>
            <w:r>
              <w:t>Recommendation XXXVI from the BfR for “Paper and board for food contact</w:t>
            </w:r>
            <w:r>
              <w:rPr>
                <w:rStyle w:val="Funotenzeichen"/>
              </w:rPr>
              <w:t>”</w:t>
            </w:r>
            <w:r w:rsidRPr="00D87B87">
              <w:rPr>
                <w:rStyle w:val="Funotenzeichen"/>
              </w:rPr>
              <w:footnoteReference w:id="9"/>
            </w:r>
            <w:r>
              <w:t xml:space="preserve"> </w:t>
            </w:r>
            <w:r>
              <w:rPr>
                <w:rStyle w:val="StandardnurWort"/>
              </w:rPr>
              <w:t>(positive list) in sections B (production aids) and C (special paper refining agents) may be added to the product. The maximum quantities stated in this list must be observed.</w:t>
            </w:r>
          </w:p>
        </w:tc>
      </w:tr>
      <w:tr w:rsidR="001F3434" w:rsidRPr="00C32604" w14:paraId="73DA1A3B" w14:textId="77777777" w:rsidTr="00C32604">
        <w:tc>
          <w:tcPr>
            <w:tcW w:w="1413" w:type="dxa"/>
            <w:shd w:val="clear" w:color="auto" w:fill="F2F2F2" w:themeFill="background1" w:themeFillShade="F2"/>
          </w:tcPr>
          <w:p w14:paraId="69D75F32" w14:textId="77777777" w:rsidR="001F3434" w:rsidRPr="00C32604" w:rsidRDefault="00C32604" w:rsidP="001E0D08">
            <w:pPr>
              <w:jc w:val="both"/>
              <w:rPr>
                <w:rFonts w:cs="Arial"/>
                <w:b/>
              </w:rPr>
            </w:pPr>
            <w:r>
              <w:rPr>
                <w:b/>
              </w:rPr>
              <w:t>3.8</w:t>
            </w:r>
          </w:p>
        </w:tc>
        <w:tc>
          <w:tcPr>
            <w:tcW w:w="8363" w:type="dxa"/>
            <w:gridSpan w:val="6"/>
            <w:shd w:val="clear" w:color="auto" w:fill="F2F2F2" w:themeFill="background1" w:themeFillShade="F2"/>
          </w:tcPr>
          <w:p w14:paraId="066BE26D" w14:textId="77777777" w:rsidR="001F3434" w:rsidRPr="00C32604" w:rsidRDefault="00C32604" w:rsidP="001F3434">
            <w:pPr>
              <w:rPr>
                <w:rStyle w:val="StandardnurWort"/>
                <w:b/>
              </w:rPr>
            </w:pPr>
            <w:r>
              <w:rPr>
                <w:rStyle w:val="StandardnurWort"/>
                <w:b/>
              </w:rPr>
              <w:t>Bisphenol A and other colour developers</w:t>
            </w:r>
          </w:p>
        </w:tc>
      </w:tr>
      <w:tr w:rsidR="00206F07" w:rsidRPr="00C32604" w14:paraId="48E6A92A" w14:textId="77777777" w:rsidTr="00D13A96">
        <w:tc>
          <w:tcPr>
            <w:tcW w:w="1413" w:type="dxa"/>
          </w:tcPr>
          <w:p w14:paraId="112D30D6" w14:textId="77777777" w:rsidR="00206F07" w:rsidRPr="00C32604" w:rsidRDefault="00206F07" w:rsidP="001E0D08">
            <w:pPr>
              <w:jc w:val="both"/>
              <w:rPr>
                <w:rFonts w:cs="Arial"/>
              </w:rPr>
            </w:pPr>
          </w:p>
        </w:tc>
        <w:tc>
          <w:tcPr>
            <w:tcW w:w="8363" w:type="dxa"/>
            <w:gridSpan w:val="6"/>
          </w:tcPr>
          <w:p w14:paraId="0DB74EB2" w14:textId="77777777" w:rsidR="00C32604" w:rsidRDefault="00C32604" w:rsidP="00C32604">
            <w:pPr>
              <w:rPr>
                <w:rStyle w:val="StandardnurWort"/>
              </w:rPr>
            </w:pPr>
            <w:r>
              <w:rPr>
                <w:rStyle w:val="StandardnurWort"/>
              </w:rPr>
              <w:t>In the production of thermal paper for direct thermal printing, no chemical colour developing systems may be used that are demonstrably toxic to humans, ecotoxic, very mobile or persistent or are suspected of being so. The use of the following colour developers is strictly prohibited:</w:t>
            </w:r>
          </w:p>
          <w:p w14:paraId="4C52CB0B" w14:textId="77777777" w:rsidR="00C32604" w:rsidRDefault="00C32604" w:rsidP="00C32604">
            <w:pPr>
              <w:rPr>
                <w:rStyle w:val="StandardnurWort"/>
              </w:rPr>
            </w:pPr>
          </w:p>
          <w:p w14:paraId="1F4450AC" w14:textId="77777777" w:rsidR="00C32604" w:rsidRPr="00B16518" w:rsidRDefault="00C32604" w:rsidP="00C32604">
            <w:pPr>
              <w:rPr>
                <w:lang w:val="es-ES"/>
              </w:rPr>
            </w:pPr>
            <w:r w:rsidRPr="00B16518">
              <w:rPr>
                <w:lang w:val="es-ES"/>
              </w:rPr>
              <w:t xml:space="preserve">CAS 80-05-7 Bisphenol A </w:t>
            </w:r>
            <w:r w:rsidRPr="00F57E64">
              <w:rPr>
                <w:rStyle w:val="Funotenzeichen"/>
              </w:rPr>
              <w:footnoteReference w:id="10"/>
            </w:r>
            <w:r w:rsidRPr="00B16518">
              <w:rPr>
                <w:lang w:val="es-ES"/>
              </w:rPr>
              <w:t xml:space="preserve">, </w:t>
            </w:r>
          </w:p>
          <w:p w14:paraId="1AD78AA3" w14:textId="77777777" w:rsidR="00C32604" w:rsidRPr="00B16518" w:rsidRDefault="00C32604" w:rsidP="00C32604">
            <w:pPr>
              <w:rPr>
                <w:lang w:val="es-ES"/>
              </w:rPr>
            </w:pPr>
            <w:r w:rsidRPr="00B16518">
              <w:rPr>
                <w:lang w:val="es-ES"/>
              </w:rPr>
              <w:t xml:space="preserve">CAS 77-40-7 Bisphenol B, </w:t>
            </w:r>
          </w:p>
          <w:p w14:paraId="59EE52E0" w14:textId="77777777" w:rsidR="00C32604" w:rsidRPr="00B16518" w:rsidRDefault="00C32604" w:rsidP="00C32604">
            <w:pPr>
              <w:rPr>
                <w:lang w:val="es-ES"/>
              </w:rPr>
            </w:pPr>
            <w:r w:rsidRPr="00B16518">
              <w:rPr>
                <w:lang w:val="es-ES"/>
              </w:rPr>
              <w:t xml:space="preserve">CAS 79-97-0 Bisphenol C, </w:t>
            </w:r>
          </w:p>
          <w:p w14:paraId="26EE360A" w14:textId="77777777" w:rsidR="00C32604" w:rsidRPr="00610B68" w:rsidRDefault="00C32604" w:rsidP="00C32604">
            <w:r>
              <w:t xml:space="preserve">CAS 620-92-8 Bisphenol F, </w:t>
            </w:r>
          </w:p>
          <w:p w14:paraId="1B9BEF3B" w14:textId="77777777" w:rsidR="00C32604" w:rsidRPr="00610B68" w:rsidRDefault="00C32604" w:rsidP="00C32604">
            <w:r>
              <w:lastRenderedPageBreak/>
              <w:t xml:space="preserve">CAS 80-09-1 Bisphenol S, </w:t>
            </w:r>
          </w:p>
          <w:p w14:paraId="48357CDB" w14:textId="77777777" w:rsidR="00C32604" w:rsidRPr="00B16518" w:rsidRDefault="00C32604" w:rsidP="00C32604">
            <w:pPr>
              <w:rPr>
                <w:lang w:val="es-ES"/>
              </w:rPr>
            </w:pPr>
            <w:r w:rsidRPr="00B16518">
              <w:rPr>
                <w:lang w:val="es-ES"/>
              </w:rPr>
              <w:t xml:space="preserve">CAS 97042-18-7 Bisphenol S-MAE, </w:t>
            </w:r>
          </w:p>
          <w:p w14:paraId="4703AFE8" w14:textId="77777777" w:rsidR="00C32604" w:rsidRPr="00B16518" w:rsidRDefault="00C32604" w:rsidP="00C32604">
            <w:pPr>
              <w:rPr>
                <w:lang w:val="es-ES"/>
              </w:rPr>
            </w:pPr>
            <w:r w:rsidRPr="00B16518">
              <w:rPr>
                <w:lang w:val="es-ES"/>
              </w:rPr>
              <w:t xml:space="preserve">CAS 2167-51-3 Bisphenol P, </w:t>
            </w:r>
          </w:p>
          <w:p w14:paraId="738022A8" w14:textId="77777777" w:rsidR="00C32604" w:rsidRPr="00B16518" w:rsidRDefault="00C32604" w:rsidP="00C32604">
            <w:pPr>
              <w:rPr>
                <w:lang w:val="es-ES"/>
              </w:rPr>
            </w:pPr>
            <w:r w:rsidRPr="00B16518">
              <w:rPr>
                <w:lang w:val="es-ES"/>
              </w:rPr>
              <w:t xml:space="preserve">CAS 41481-66-7 TGSH, </w:t>
            </w:r>
          </w:p>
          <w:p w14:paraId="15BE7CE5" w14:textId="77777777" w:rsidR="00C32604" w:rsidRPr="00B16518" w:rsidRDefault="00C32604" w:rsidP="00C32604">
            <w:pPr>
              <w:rPr>
                <w:lang w:val="es-ES"/>
              </w:rPr>
            </w:pPr>
            <w:r w:rsidRPr="00B16518">
              <w:rPr>
                <w:lang w:val="es-ES"/>
              </w:rPr>
              <w:t xml:space="preserve">CAS 95235-30-6 D8, </w:t>
            </w:r>
          </w:p>
          <w:p w14:paraId="47CA2C64" w14:textId="77777777" w:rsidR="00C32604" w:rsidRPr="00B16518" w:rsidRDefault="00C32604" w:rsidP="00C32604">
            <w:pPr>
              <w:rPr>
                <w:lang w:val="es-ES"/>
              </w:rPr>
            </w:pPr>
            <w:r w:rsidRPr="00B16518">
              <w:rPr>
                <w:lang w:val="es-ES"/>
              </w:rPr>
              <w:t xml:space="preserve">CAS 191680-83-8 D90, </w:t>
            </w:r>
          </w:p>
          <w:p w14:paraId="3215D1F2" w14:textId="77777777" w:rsidR="00C32604" w:rsidRPr="00B16518" w:rsidRDefault="00C32604" w:rsidP="00C32604">
            <w:pPr>
              <w:rPr>
                <w:lang w:val="es-ES"/>
              </w:rPr>
            </w:pPr>
            <w:r w:rsidRPr="00B16518">
              <w:rPr>
                <w:lang w:val="es-ES"/>
              </w:rPr>
              <w:t xml:space="preserve">CAS 93589-69-6 DD70, </w:t>
            </w:r>
          </w:p>
          <w:p w14:paraId="0A23EDAF" w14:textId="77777777" w:rsidR="00C32604" w:rsidRPr="00B16518" w:rsidRDefault="00C32604" w:rsidP="00C32604">
            <w:pPr>
              <w:rPr>
                <w:lang w:val="es-ES"/>
              </w:rPr>
            </w:pPr>
            <w:r w:rsidRPr="00B16518">
              <w:rPr>
                <w:lang w:val="es-ES"/>
              </w:rPr>
              <w:t xml:space="preserve">CAS 232938-43-1 Pergafast 201 </w:t>
            </w:r>
            <w:r w:rsidRPr="00F57E64">
              <w:rPr>
                <w:rStyle w:val="Funotenzeichen"/>
              </w:rPr>
              <w:footnoteReference w:id="11"/>
            </w:r>
            <w:r w:rsidRPr="00B16518">
              <w:rPr>
                <w:lang w:val="es-ES"/>
              </w:rPr>
              <w:t xml:space="preserve">, </w:t>
            </w:r>
          </w:p>
          <w:p w14:paraId="1F6211F7" w14:textId="77777777" w:rsidR="00206F07" w:rsidRPr="00B16518" w:rsidRDefault="00C32604" w:rsidP="001F3434">
            <w:pPr>
              <w:rPr>
                <w:lang w:val="es-ES"/>
              </w:rPr>
            </w:pPr>
            <w:r w:rsidRPr="00B16518">
              <w:rPr>
                <w:lang w:val="es-ES"/>
              </w:rPr>
              <w:t>CAS 321860-75-7 UU.</w:t>
            </w:r>
          </w:p>
          <w:p w14:paraId="1057FDD6" w14:textId="77777777" w:rsidR="00694746" w:rsidRPr="00B16518" w:rsidRDefault="00694746" w:rsidP="001F3434">
            <w:pPr>
              <w:rPr>
                <w:rStyle w:val="StandardnurWort"/>
                <w:lang w:val="es-ES"/>
              </w:rPr>
            </w:pPr>
          </w:p>
          <w:p w14:paraId="1AB1AAB3" w14:textId="77777777" w:rsidR="00694746" w:rsidRDefault="00694746" w:rsidP="001F3434">
            <w:pPr>
              <w:rPr>
                <w:rFonts w:cs="Arial"/>
                <w:szCs w:val="22"/>
              </w:rPr>
            </w:pPr>
            <w:r>
              <w:rPr>
                <w:rStyle w:val="StandardnurWort"/>
              </w:rPr>
              <w:t xml:space="preserve">No colour developers are used.      </w:t>
            </w:r>
            <w:bookmarkStart w:id="7" w:name="_GoBack"/>
            <w:r w:rsidR="00DD3A68" w:rsidRPr="004B7B3A">
              <w:rPr>
                <w:rFonts w:cs="Arial"/>
              </w:rPr>
              <w:fldChar w:fldCharType="begin">
                <w:ffData>
                  <w:name w:val="Kontrollkästchen79"/>
                  <w:enabled/>
                  <w:calcOnExit w:val="0"/>
                  <w:checkBox>
                    <w:sizeAuto/>
                    <w:default w:val="0"/>
                  </w:checkBox>
                </w:ffData>
              </w:fldChar>
            </w:r>
            <w:r w:rsidR="00DD3A68" w:rsidRPr="004B7B3A">
              <w:rPr>
                <w:rFonts w:cs="Arial"/>
              </w:rPr>
              <w:instrText xml:space="preserve"> FORMCHECKBOX </w:instrText>
            </w:r>
            <w:r w:rsidR="006E56E0">
              <w:rPr>
                <w:rFonts w:cs="Arial"/>
              </w:rPr>
            </w:r>
            <w:r w:rsidR="006E56E0">
              <w:rPr>
                <w:rFonts w:cs="Arial"/>
              </w:rPr>
              <w:fldChar w:fldCharType="separate"/>
            </w:r>
            <w:r w:rsidR="00DD3A68" w:rsidRPr="004B7B3A">
              <w:rPr>
                <w:rFonts w:cs="Arial"/>
              </w:rPr>
              <w:fldChar w:fldCharType="end"/>
            </w:r>
            <w:bookmarkEnd w:id="7"/>
          </w:p>
          <w:p w14:paraId="2CEE5218" w14:textId="77777777" w:rsidR="00DD3A68" w:rsidRDefault="00DD3A68" w:rsidP="001F3434">
            <w:pPr>
              <w:rPr>
                <w:rStyle w:val="StandardnurWort"/>
              </w:rPr>
            </w:pPr>
          </w:p>
          <w:p w14:paraId="4DD03DFB" w14:textId="77777777" w:rsidR="00DD3A68" w:rsidRPr="00C32604" w:rsidRDefault="00DD3A68" w:rsidP="001F3434">
            <w:pPr>
              <w:rPr>
                <w:rStyle w:val="StandardnurWort"/>
              </w:rPr>
            </w:pPr>
            <w:r>
              <w:rPr>
                <w:rStyle w:val="StandardnurWort"/>
              </w:rPr>
              <w:t xml:space="preserve">The following colour developer is used: </w:t>
            </w:r>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r>
      <w:tr w:rsidR="00206F07" w:rsidRPr="00C32604" w14:paraId="2F034475" w14:textId="77777777" w:rsidTr="0035039C">
        <w:tc>
          <w:tcPr>
            <w:tcW w:w="1413" w:type="dxa"/>
            <w:shd w:val="clear" w:color="auto" w:fill="F2F2F2" w:themeFill="background1" w:themeFillShade="F2"/>
          </w:tcPr>
          <w:p w14:paraId="53F48813" w14:textId="77777777" w:rsidR="00206F07" w:rsidRPr="0035039C" w:rsidRDefault="0035039C" w:rsidP="001E0D08">
            <w:pPr>
              <w:jc w:val="both"/>
              <w:rPr>
                <w:rFonts w:cs="Arial"/>
                <w:b/>
              </w:rPr>
            </w:pPr>
            <w:r>
              <w:rPr>
                <w:b/>
              </w:rPr>
              <w:lastRenderedPageBreak/>
              <w:t>3.9</w:t>
            </w:r>
          </w:p>
        </w:tc>
        <w:tc>
          <w:tcPr>
            <w:tcW w:w="8363" w:type="dxa"/>
            <w:gridSpan w:val="6"/>
            <w:shd w:val="clear" w:color="auto" w:fill="F2F2F2" w:themeFill="background1" w:themeFillShade="F2"/>
          </w:tcPr>
          <w:p w14:paraId="6715163E" w14:textId="77777777" w:rsidR="00206F07" w:rsidRPr="0035039C" w:rsidRDefault="0035039C" w:rsidP="001F3434">
            <w:pPr>
              <w:rPr>
                <w:rStyle w:val="StandardnurWort"/>
                <w:b/>
              </w:rPr>
            </w:pPr>
            <w:r>
              <w:rPr>
                <w:rStyle w:val="StandardnurWort"/>
                <w:b/>
              </w:rPr>
              <w:t>Biocides</w:t>
            </w:r>
          </w:p>
        </w:tc>
      </w:tr>
      <w:tr w:rsidR="00206F07" w:rsidRPr="00C32604" w14:paraId="1AF7752D" w14:textId="77777777" w:rsidTr="00D13A96">
        <w:tc>
          <w:tcPr>
            <w:tcW w:w="1413" w:type="dxa"/>
          </w:tcPr>
          <w:p w14:paraId="2B66009E" w14:textId="77777777" w:rsidR="00206F07" w:rsidRPr="00C32604" w:rsidRDefault="00206F07" w:rsidP="001E0D08">
            <w:pPr>
              <w:jc w:val="both"/>
              <w:rPr>
                <w:rFonts w:cs="Arial"/>
              </w:rPr>
            </w:pPr>
          </w:p>
        </w:tc>
        <w:tc>
          <w:tcPr>
            <w:tcW w:w="8363" w:type="dxa"/>
            <w:gridSpan w:val="6"/>
          </w:tcPr>
          <w:p w14:paraId="03326526" w14:textId="77777777" w:rsidR="0035039C" w:rsidRPr="00C111E1" w:rsidRDefault="0035039C" w:rsidP="0035039C">
            <w:r>
              <w:t>In the production of the thermal paper, only those slimicides (substances in product type 12) and material preservatives for fibres (substances in product type 9) in the sense of the Biocidal Products Regulation that have been approved in accordance with the Biocidal Products Regulation (EU) No. 528/2012 (EU list of approved active substances) or are still being examined as a notified existing active substance for the relevant type of biocides as part of the EU work programme for the systematic examination of all existing active substances may be used.</w:t>
            </w:r>
          </w:p>
          <w:p w14:paraId="3F5F1BAD" w14:textId="77777777" w:rsidR="0035039C" w:rsidRPr="00C111E1" w:rsidRDefault="0035039C" w:rsidP="0035039C">
            <w:r>
              <w:t>Accordingly, it is only permitted to use those biocidal products classified in product types 9 and 12 that have been explicitly approved for the desired application.</w:t>
            </w:r>
          </w:p>
          <w:p w14:paraId="3EB59085" w14:textId="77777777" w:rsidR="0035039C" w:rsidRPr="00C111E1" w:rsidRDefault="0035039C" w:rsidP="0035039C">
            <w:r>
              <w:t>For a transitional period, biocidal products that contain notified existing active substances of product types 9 and 12 that are still being examined as part of the EU examination process can also be used without approval if they have been registered in accordance with the German ordinance on the notification of biocidal products pursuant to the German Chemicals Act (Biocide Notification Ordinance – ChemBiozidMeldeV).</w:t>
            </w:r>
          </w:p>
          <w:p w14:paraId="56761289" w14:textId="77777777" w:rsidR="0035039C" w:rsidRPr="00C111E1" w:rsidRDefault="0035039C" w:rsidP="0035039C">
            <w:r>
              <w:t>In addition, the biocidal products used in the product must not contain any substances that have been considered as candidates for substitution according to Article 10 of the EU Biocidal Products Regulation 528/2012.</w:t>
            </w:r>
          </w:p>
          <w:p w14:paraId="0AB1F1E8" w14:textId="77777777" w:rsidR="0035039C" w:rsidRPr="00C111E1" w:rsidRDefault="0035039C" w:rsidP="0035039C">
            <w:r>
              <w:t>Until the approval requirements for the biocidal products containing notified existing active substances come into force, only those substances that are also listed in Recommendation XXXVI from the BfR are permitted.</w:t>
            </w:r>
          </w:p>
          <w:p w14:paraId="679A067A" w14:textId="77777777" w:rsidR="00206F07" w:rsidRPr="00C32604" w:rsidRDefault="0035039C" w:rsidP="001F3434">
            <w:pPr>
              <w:rPr>
                <w:rStyle w:val="StandardnurWort"/>
              </w:rPr>
            </w:pPr>
            <w:r>
              <w:t>It is also possible that production aids and paper refining agents used for the production of the thermal paper contain biocidal products in product type 6 (protection of finished products in containers against microbial deterioration to ensure their shelf life) that have been made available on the market. Residual content of these biocidal products will be accepted.</w:t>
            </w:r>
          </w:p>
        </w:tc>
      </w:tr>
      <w:tr w:rsidR="00206F07" w:rsidRPr="00C32604" w14:paraId="6EAF9891" w14:textId="77777777" w:rsidTr="00BA5895">
        <w:tc>
          <w:tcPr>
            <w:tcW w:w="1413" w:type="dxa"/>
            <w:shd w:val="clear" w:color="auto" w:fill="F2F2F2" w:themeFill="background1" w:themeFillShade="F2"/>
          </w:tcPr>
          <w:p w14:paraId="225706AE" w14:textId="77777777" w:rsidR="00206F07" w:rsidRPr="00BA5895" w:rsidRDefault="00BA5895" w:rsidP="001E0D08">
            <w:pPr>
              <w:jc w:val="both"/>
              <w:rPr>
                <w:rFonts w:cs="Arial"/>
                <w:b/>
              </w:rPr>
            </w:pPr>
            <w:r>
              <w:rPr>
                <w:b/>
              </w:rPr>
              <w:t>3.13</w:t>
            </w:r>
          </w:p>
        </w:tc>
        <w:tc>
          <w:tcPr>
            <w:tcW w:w="8363" w:type="dxa"/>
            <w:gridSpan w:val="6"/>
            <w:shd w:val="clear" w:color="auto" w:fill="F2F2F2" w:themeFill="background1" w:themeFillShade="F2"/>
          </w:tcPr>
          <w:p w14:paraId="7FA8180D" w14:textId="77777777" w:rsidR="00206F07" w:rsidRPr="00BA5895" w:rsidRDefault="00BA5895" w:rsidP="001F3434">
            <w:pPr>
              <w:rPr>
                <w:rStyle w:val="StandardnurWort"/>
                <w:b/>
              </w:rPr>
            </w:pPr>
            <w:r>
              <w:rPr>
                <w:rStyle w:val="StandardnurWort"/>
                <w:b/>
              </w:rPr>
              <w:t>Requirements for the recyclability of the thermal paper</w:t>
            </w:r>
          </w:p>
        </w:tc>
      </w:tr>
      <w:tr w:rsidR="00206F07" w:rsidRPr="00C32604" w14:paraId="25BAB936" w14:textId="77777777" w:rsidTr="00D13A96">
        <w:tc>
          <w:tcPr>
            <w:tcW w:w="1413" w:type="dxa"/>
          </w:tcPr>
          <w:p w14:paraId="617CD79A" w14:textId="77777777" w:rsidR="00206F07" w:rsidRPr="00C32604" w:rsidRDefault="00206F07" w:rsidP="001E0D08">
            <w:pPr>
              <w:jc w:val="both"/>
              <w:rPr>
                <w:rFonts w:cs="Arial"/>
              </w:rPr>
            </w:pPr>
          </w:p>
        </w:tc>
        <w:tc>
          <w:tcPr>
            <w:tcW w:w="8363" w:type="dxa"/>
            <w:gridSpan w:val="6"/>
          </w:tcPr>
          <w:p w14:paraId="0D682290" w14:textId="77777777" w:rsidR="00D90D8F" w:rsidRDefault="00D90D8F" w:rsidP="00D90D8F">
            <w:r>
              <w:t>In order to produce thermal paper, coating colours are applied to a base paper. These coatings produce the text when heat is applied. Unprinted thermal paper does not contain any printing inks. Deinking is a standard process in the preparation of graphic paper or graphic cardboard. Thermal paper should not have a significant negative impact on this process. The recyclability of the paper is verified by testing it in accordance with the defibration and flotation conditions in INGEDE Method 11 (Deinability test, version January 2018).</w:t>
            </w:r>
          </w:p>
          <w:p w14:paraId="6F02AC33" w14:textId="77777777" w:rsidR="00D90D8F" w:rsidRDefault="00D90D8F" w:rsidP="00D90D8F"/>
          <w:p w14:paraId="54952214" w14:textId="77777777" w:rsidR="00D90D8F" w:rsidRDefault="00D90D8F" w:rsidP="00D90D8F">
            <w:r>
              <w:t>Unprinted thermal paper must comply with the following criteria:</w:t>
            </w:r>
          </w:p>
          <w:p w14:paraId="78493559" w14:textId="77777777" w:rsidR="00D90D8F" w:rsidRPr="00D4065E" w:rsidRDefault="00D90D8F" w:rsidP="00D90D8F">
            <w:pPr>
              <w:pStyle w:val="AufzhlungPunkt2"/>
            </w:pPr>
            <w:r>
              <w:lastRenderedPageBreak/>
              <w:t>Using a starting mixture of 100 % wood-free, uncoated copy paper printed on both sides with a dry toner and with a surface coverage of 5 % (CEN_TEST Master from EN 12281) on each side, the light absorption coefficient after flotation must only deteriorate by 6 points and filtrate darkening by 3 points when 1 % thermal paper is added to the mixture, in comparison to the floated starting mixture without thermal paper.</w:t>
            </w:r>
          </w:p>
          <w:p w14:paraId="2B90A09A" w14:textId="77777777" w:rsidR="00D90D8F" w:rsidRPr="00F02C46" w:rsidRDefault="00D90D8F" w:rsidP="00D90D8F">
            <w:pPr>
              <w:pStyle w:val="Standardeingercktum0"/>
            </w:pPr>
            <w:r>
              <w:t>or</w:t>
            </w:r>
          </w:p>
          <w:p w14:paraId="666E04CA" w14:textId="77777777" w:rsidR="00206F07" w:rsidRPr="00C32604" w:rsidRDefault="00D90D8F" w:rsidP="001F3434">
            <w:pPr>
              <w:pStyle w:val="AufzhlungPunkt2"/>
              <w:rPr>
                <w:rStyle w:val="StandardnurWort"/>
              </w:rPr>
            </w:pPr>
            <w:r>
              <w:t>Using a starting mixture of recovered paper from newspapers/magazines (offset, uncoated) with a 60%/40% ratio, the light absorption coefficient after floatation must only deteriorate by 6 points and filtrate darkening by 3 points when 5 % thermal paper is added to the mixture, in comparison to the floated starting mixture without thermal paper.</w:t>
            </w:r>
          </w:p>
        </w:tc>
      </w:tr>
    </w:tbl>
    <w:p w14:paraId="076021D0" w14:textId="77777777" w:rsidR="001E0D08" w:rsidRPr="00C32604" w:rsidRDefault="001E0D08" w:rsidP="001E0D08">
      <w:pPr>
        <w:jc w:val="both"/>
        <w:rPr>
          <w:rFonts w:cs="Arial"/>
        </w:rPr>
      </w:pPr>
    </w:p>
    <w:p w14:paraId="0DFDF033" w14:textId="77777777" w:rsidR="005A1231" w:rsidRPr="00C32604" w:rsidRDefault="005A1231" w:rsidP="001E0D08">
      <w:pPr>
        <w:jc w:val="both"/>
        <w:rPr>
          <w:rFonts w:cs="Arial"/>
        </w:rPr>
      </w:pPr>
    </w:p>
    <w:p w14:paraId="61F47A84" w14:textId="77777777" w:rsidR="005A1231" w:rsidRPr="004B7B3A" w:rsidRDefault="005A1231" w:rsidP="005A1231">
      <w:pPr>
        <w:jc w:val="both"/>
        <w:rPr>
          <w:rFonts w:cs="Arial"/>
          <w:b/>
          <w:szCs w:val="22"/>
          <w:u w:val="single"/>
        </w:rPr>
      </w:pPr>
      <w:r>
        <w:rPr>
          <w:b/>
          <w:u w:val="single"/>
        </w:rPr>
        <w:t>Declarations by the applicant: Finished products made of thermal paper</w:t>
      </w:r>
    </w:p>
    <w:p w14:paraId="7B0CF74F" w14:textId="77777777" w:rsidR="005A1231" w:rsidRPr="004B7B3A" w:rsidRDefault="005A1231" w:rsidP="005A1231">
      <w:pPr>
        <w:jc w:val="both"/>
        <w:rPr>
          <w:rFonts w:cs="Arial"/>
          <w:szCs w:val="22"/>
        </w:rPr>
      </w:pPr>
    </w:p>
    <w:p w14:paraId="3B789E57" w14:textId="77777777" w:rsidR="005A1231" w:rsidRDefault="005A1231" w:rsidP="005A1231">
      <w:pPr>
        <w:jc w:val="both"/>
        <w:rPr>
          <w:rFonts w:cs="Arial"/>
          <w:szCs w:val="22"/>
        </w:rPr>
      </w:pPr>
      <w:r>
        <w:t xml:space="preserve">We hereby declare compliance with the following requirements                    </w:t>
      </w:r>
      <w:r w:rsidRPr="004B7B3A">
        <w:rPr>
          <w:rFonts w:cs="Arial"/>
        </w:rPr>
        <w:fldChar w:fldCharType="begin">
          <w:ffData>
            <w:name w:val="Kontrollkästchen79"/>
            <w:enabled/>
            <w:calcOnExit w:val="0"/>
            <w:checkBox>
              <w:sizeAuto/>
              <w:default w:val="0"/>
            </w:checkBox>
          </w:ffData>
        </w:fldChar>
      </w:r>
      <w:r w:rsidRPr="004B7B3A">
        <w:rPr>
          <w:rFonts w:cs="Arial"/>
        </w:rPr>
        <w:instrText xml:space="preserve"> FORMCHECKBOX </w:instrText>
      </w:r>
      <w:r w:rsidR="006E56E0">
        <w:rPr>
          <w:rFonts w:cs="Arial"/>
        </w:rPr>
      </w:r>
      <w:r w:rsidR="006E56E0">
        <w:rPr>
          <w:rFonts w:cs="Arial"/>
        </w:rPr>
        <w:fldChar w:fldCharType="separate"/>
      </w:r>
      <w:r w:rsidRPr="004B7B3A">
        <w:rPr>
          <w:rFonts w:cs="Arial"/>
        </w:rPr>
        <w:fldChar w:fldCharType="end"/>
      </w:r>
    </w:p>
    <w:p w14:paraId="1D5F4733" w14:textId="77777777" w:rsidR="005A1231" w:rsidRDefault="005A1231" w:rsidP="005A1231">
      <w:pPr>
        <w:jc w:val="both"/>
        <w:rPr>
          <w:rFonts w:cs="Arial"/>
        </w:rPr>
      </w:pPr>
    </w:p>
    <w:p w14:paraId="6B3B2FF7" w14:textId="77777777" w:rsidR="0078760D" w:rsidRDefault="0078760D" w:rsidP="005A1231">
      <w:pPr>
        <w:jc w:val="both"/>
        <w:rPr>
          <w:rFonts w:cs="Arial"/>
        </w:rPr>
      </w:pPr>
    </w:p>
    <w:tbl>
      <w:tblPr>
        <w:tblStyle w:val="Tabellenraster"/>
        <w:tblW w:w="9776" w:type="dxa"/>
        <w:tblCellMar>
          <w:top w:w="57" w:type="dxa"/>
          <w:bottom w:w="57" w:type="dxa"/>
        </w:tblCellMar>
        <w:tblLook w:val="04A0" w:firstRow="1" w:lastRow="0" w:firstColumn="1" w:lastColumn="0" w:noHBand="0" w:noVBand="1"/>
      </w:tblPr>
      <w:tblGrid>
        <w:gridCol w:w="1413"/>
        <w:gridCol w:w="2693"/>
        <w:gridCol w:w="5670"/>
      </w:tblGrid>
      <w:tr w:rsidR="005A1231" w14:paraId="4215C592" w14:textId="77777777" w:rsidTr="000B21C9">
        <w:tc>
          <w:tcPr>
            <w:tcW w:w="1413" w:type="dxa"/>
            <w:shd w:val="clear" w:color="auto" w:fill="D9D9D9" w:themeFill="background1" w:themeFillShade="D9"/>
          </w:tcPr>
          <w:p w14:paraId="58ABF8A9" w14:textId="77777777" w:rsidR="005A1231" w:rsidRPr="001753E6" w:rsidRDefault="005A1231" w:rsidP="000705AE">
            <w:pPr>
              <w:jc w:val="both"/>
              <w:rPr>
                <w:rFonts w:cs="Arial"/>
                <w:b/>
              </w:rPr>
            </w:pPr>
            <w:r>
              <w:rPr>
                <w:b/>
              </w:rPr>
              <w:t>Paragraph</w:t>
            </w:r>
          </w:p>
        </w:tc>
        <w:tc>
          <w:tcPr>
            <w:tcW w:w="8363" w:type="dxa"/>
            <w:gridSpan w:val="2"/>
            <w:shd w:val="clear" w:color="auto" w:fill="D9D9D9" w:themeFill="background1" w:themeFillShade="D9"/>
          </w:tcPr>
          <w:p w14:paraId="586F54D1" w14:textId="77777777" w:rsidR="005A1231" w:rsidRPr="001753E6" w:rsidRDefault="005A1231" w:rsidP="000705AE">
            <w:pPr>
              <w:jc w:val="both"/>
              <w:rPr>
                <w:rFonts w:cs="Arial"/>
                <w:b/>
              </w:rPr>
            </w:pPr>
            <w:r>
              <w:rPr>
                <w:b/>
              </w:rPr>
              <w:t>Requirement</w:t>
            </w:r>
          </w:p>
        </w:tc>
      </w:tr>
      <w:tr w:rsidR="005A1231" w14:paraId="6035F56F" w14:textId="77777777" w:rsidTr="000B21C9">
        <w:tc>
          <w:tcPr>
            <w:tcW w:w="1413" w:type="dxa"/>
            <w:shd w:val="clear" w:color="auto" w:fill="F2F2F2" w:themeFill="background1" w:themeFillShade="F2"/>
          </w:tcPr>
          <w:p w14:paraId="58493E3D" w14:textId="77777777" w:rsidR="005A1231" w:rsidRPr="001753E6" w:rsidRDefault="001753E6" w:rsidP="000705AE">
            <w:pPr>
              <w:jc w:val="both"/>
              <w:rPr>
                <w:rFonts w:cs="Arial"/>
                <w:b/>
              </w:rPr>
            </w:pPr>
            <w:r>
              <w:rPr>
                <w:b/>
              </w:rPr>
              <w:t>3.14.1</w:t>
            </w:r>
          </w:p>
        </w:tc>
        <w:tc>
          <w:tcPr>
            <w:tcW w:w="8363" w:type="dxa"/>
            <w:gridSpan w:val="2"/>
            <w:shd w:val="clear" w:color="auto" w:fill="F2F2F2" w:themeFill="background1" w:themeFillShade="F2"/>
          </w:tcPr>
          <w:p w14:paraId="0CE59FF3" w14:textId="77777777" w:rsidR="005A1231" w:rsidRPr="001753E6" w:rsidRDefault="001753E6" w:rsidP="000705AE">
            <w:pPr>
              <w:jc w:val="both"/>
              <w:rPr>
                <w:rFonts w:cs="Arial"/>
                <w:b/>
              </w:rPr>
            </w:pPr>
            <w:r>
              <w:rPr>
                <w:b/>
              </w:rPr>
              <w:t>Use of paper</w:t>
            </w:r>
          </w:p>
        </w:tc>
      </w:tr>
      <w:tr w:rsidR="005A1231" w14:paraId="0FC6A51C" w14:textId="77777777" w:rsidTr="000B21C9">
        <w:tc>
          <w:tcPr>
            <w:tcW w:w="1413" w:type="dxa"/>
          </w:tcPr>
          <w:p w14:paraId="11157A18" w14:textId="77777777" w:rsidR="005A1231" w:rsidRDefault="005A1231" w:rsidP="000705AE">
            <w:pPr>
              <w:jc w:val="both"/>
              <w:rPr>
                <w:rFonts w:cs="Arial"/>
              </w:rPr>
            </w:pPr>
          </w:p>
        </w:tc>
        <w:tc>
          <w:tcPr>
            <w:tcW w:w="8363" w:type="dxa"/>
            <w:gridSpan w:val="2"/>
          </w:tcPr>
          <w:p w14:paraId="7FF9AB3A" w14:textId="77777777" w:rsidR="005A1231" w:rsidRDefault="000705AE" w:rsidP="000705AE">
            <w:pPr>
              <w:jc w:val="both"/>
            </w:pPr>
            <w:r>
              <w:t>The finished product is exclusively produced using the following thermal paper certified with the environmental label:</w:t>
            </w:r>
          </w:p>
          <w:p w14:paraId="282ADF56" w14:textId="77777777" w:rsidR="000705AE" w:rsidRDefault="000705AE" w:rsidP="000705AE">
            <w:pPr>
              <w:jc w:val="both"/>
              <w:rPr>
                <w:rFonts w:cs="Arial"/>
              </w:rPr>
            </w:pPr>
          </w:p>
        </w:tc>
      </w:tr>
      <w:tr w:rsidR="000705AE" w14:paraId="00E31E22" w14:textId="77777777" w:rsidTr="000B21C9">
        <w:tc>
          <w:tcPr>
            <w:tcW w:w="1413" w:type="dxa"/>
          </w:tcPr>
          <w:p w14:paraId="52B8E5DB" w14:textId="77777777" w:rsidR="000705AE" w:rsidRDefault="000705AE" w:rsidP="000705AE">
            <w:pPr>
              <w:jc w:val="both"/>
              <w:rPr>
                <w:rFonts w:cs="Arial"/>
              </w:rPr>
            </w:pPr>
          </w:p>
        </w:tc>
        <w:tc>
          <w:tcPr>
            <w:tcW w:w="2693" w:type="dxa"/>
          </w:tcPr>
          <w:p w14:paraId="1A56F5BA" w14:textId="77777777" w:rsidR="000705AE" w:rsidRPr="000705AE" w:rsidRDefault="000705AE" w:rsidP="000705AE">
            <w:pPr>
              <w:jc w:val="both"/>
              <w:rPr>
                <w:rFonts w:cs="Arial"/>
                <w:b/>
              </w:rPr>
            </w:pPr>
            <w:r>
              <w:rPr>
                <w:b/>
              </w:rPr>
              <w:t>Name of the thermal paper:</w:t>
            </w:r>
          </w:p>
          <w:p w14:paraId="151D9B04" w14:textId="77777777" w:rsidR="000705AE" w:rsidRPr="000705AE" w:rsidRDefault="000705AE" w:rsidP="000705AE">
            <w:pPr>
              <w:jc w:val="both"/>
              <w:rPr>
                <w:rFonts w:cs="Arial"/>
                <w:b/>
              </w:rPr>
            </w:pPr>
          </w:p>
        </w:tc>
        <w:tc>
          <w:tcPr>
            <w:tcW w:w="5670" w:type="dxa"/>
          </w:tcPr>
          <w:p w14:paraId="2BD0B601" w14:textId="77777777" w:rsidR="000705AE" w:rsidRDefault="000705AE" w:rsidP="000705AE">
            <w:pPr>
              <w:jc w:val="both"/>
              <w:rPr>
                <w:rFonts w:cs="Arial"/>
              </w:rPr>
            </w:pPr>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r>
      <w:tr w:rsidR="000705AE" w14:paraId="0BF8C665" w14:textId="77777777" w:rsidTr="000B21C9">
        <w:tc>
          <w:tcPr>
            <w:tcW w:w="1413" w:type="dxa"/>
          </w:tcPr>
          <w:p w14:paraId="2407A2B2" w14:textId="77777777" w:rsidR="000705AE" w:rsidRDefault="000705AE" w:rsidP="000705AE">
            <w:pPr>
              <w:jc w:val="both"/>
              <w:rPr>
                <w:rFonts w:cs="Arial"/>
              </w:rPr>
            </w:pPr>
          </w:p>
        </w:tc>
        <w:tc>
          <w:tcPr>
            <w:tcW w:w="2693" w:type="dxa"/>
          </w:tcPr>
          <w:p w14:paraId="53F93DD0" w14:textId="77777777" w:rsidR="000705AE" w:rsidRPr="000705AE" w:rsidRDefault="000705AE" w:rsidP="000705AE">
            <w:pPr>
              <w:jc w:val="both"/>
              <w:rPr>
                <w:rFonts w:cs="Arial"/>
                <w:b/>
              </w:rPr>
            </w:pPr>
            <w:r>
              <w:rPr>
                <w:b/>
              </w:rPr>
              <w:t>Manufacturer:</w:t>
            </w:r>
          </w:p>
          <w:p w14:paraId="1BC52DEB" w14:textId="77777777" w:rsidR="000705AE" w:rsidRPr="000705AE" w:rsidRDefault="000705AE" w:rsidP="000705AE">
            <w:pPr>
              <w:jc w:val="both"/>
              <w:rPr>
                <w:rFonts w:cs="Arial"/>
                <w:b/>
              </w:rPr>
            </w:pPr>
          </w:p>
        </w:tc>
        <w:tc>
          <w:tcPr>
            <w:tcW w:w="5670" w:type="dxa"/>
          </w:tcPr>
          <w:p w14:paraId="767F47F7" w14:textId="77777777" w:rsidR="000705AE" w:rsidRDefault="000705AE" w:rsidP="000705AE">
            <w:pPr>
              <w:jc w:val="both"/>
              <w:rPr>
                <w:rFonts w:cs="Arial"/>
              </w:rPr>
            </w:pPr>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r>
      <w:tr w:rsidR="000705AE" w14:paraId="4EC3D0F5" w14:textId="77777777" w:rsidTr="000B21C9">
        <w:tc>
          <w:tcPr>
            <w:tcW w:w="1413" w:type="dxa"/>
          </w:tcPr>
          <w:p w14:paraId="61DFC750" w14:textId="77777777" w:rsidR="000705AE" w:rsidRDefault="000705AE" w:rsidP="000705AE">
            <w:pPr>
              <w:jc w:val="both"/>
              <w:rPr>
                <w:rFonts w:cs="Arial"/>
              </w:rPr>
            </w:pPr>
          </w:p>
        </w:tc>
        <w:tc>
          <w:tcPr>
            <w:tcW w:w="2693" w:type="dxa"/>
          </w:tcPr>
          <w:p w14:paraId="60EE31DC" w14:textId="77777777" w:rsidR="000705AE" w:rsidRPr="000705AE" w:rsidRDefault="000705AE" w:rsidP="000705AE">
            <w:pPr>
              <w:jc w:val="both"/>
              <w:rPr>
                <w:rFonts w:cs="Arial"/>
                <w:b/>
              </w:rPr>
            </w:pPr>
            <w:r>
              <w:rPr>
                <w:b/>
              </w:rPr>
              <w:t>Contract number:</w:t>
            </w:r>
          </w:p>
        </w:tc>
        <w:tc>
          <w:tcPr>
            <w:tcW w:w="5670" w:type="dxa"/>
          </w:tcPr>
          <w:p w14:paraId="2CFBB10B" w14:textId="77777777" w:rsidR="000705AE" w:rsidRDefault="000705AE" w:rsidP="000705AE">
            <w:pPr>
              <w:jc w:val="both"/>
              <w:rPr>
                <w:rFonts w:cs="Arial"/>
              </w:rPr>
            </w:pPr>
            <w:r w:rsidRPr="0078760D">
              <w:rPr>
                <w:rFonts w:cs="Arial"/>
                <w:sz w:val="18"/>
              </w:rPr>
              <w:fldChar w:fldCharType="begin" w:fldLock="1">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Pr>
                <w:sz w:val="18"/>
              </w:rPr>
              <w:t>     </w:t>
            </w:r>
            <w:r w:rsidRPr="0078760D">
              <w:rPr>
                <w:rFonts w:cs="Arial"/>
                <w:sz w:val="18"/>
              </w:rPr>
              <w:fldChar w:fldCharType="end"/>
            </w:r>
          </w:p>
        </w:tc>
      </w:tr>
      <w:tr w:rsidR="005A1231" w14:paraId="69CEA6EE" w14:textId="77777777" w:rsidTr="000B21C9">
        <w:tc>
          <w:tcPr>
            <w:tcW w:w="1413" w:type="dxa"/>
            <w:shd w:val="clear" w:color="auto" w:fill="F2F2F2" w:themeFill="background1" w:themeFillShade="F2"/>
          </w:tcPr>
          <w:p w14:paraId="4934184D" w14:textId="77777777" w:rsidR="005A1231" w:rsidRPr="000B21C9" w:rsidRDefault="000B21C9" w:rsidP="000705AE">
            <w:pPr>
              <w:jc w:val="both"/>
              <w:rPr>
                <w:rFonts w:cs="Arial"/>
                <w:b/>
              </w:rPr>
            </w:pPr>
            <w:r>
              <w:rPr>
                <w:b/>
              </w:rPr>
              <w:t>3.14.2</w:t>
            </w:r>
          </w:p>
        </w:tc>
        <w:tc>
          <w:tcPr>
            <w:tcW w:w="8363" w:type="dxa"/>
            <w:gridSpan w:val="2"/>
            <w:shd w:val="clear" w:color="auto" w:fill="F2F2F2" w:themeFill="background1" w:themeFillShade="F2"/>
          </w:tcPr>
          <w:p w14:paraId="6E951EE2" w14:textId="77777777" w:rsidR="005A1231" w:rsidRPr="000B21C9" w:rsidRDefault="000B21C9" w:rsidP="000705AE">
            <w:pPr>
              <w:jc w:val="both"/>
              <w:rPr>
                <w:rFonts w:cs="Arial"/>
                <w:b/>
              </w:rPr>
            </w:pPr>
            <w:r>
              <w:rPr>
                <w:b/>
              </w:rPr>
              <w:t>Mineral oils</w:t>
            </w:r>
          </w:p>
        </w:tc>
      </w:tr>
      <w:tr w:rsidR="005A1231" w14:paraId="46499B88" w14:textId="77777777" w:rsidTr="000B21C9">
        <w:tc>
          <w:tcPr>
            <w:tcW w:w="1413" w:type="dxa"/>
          </w:tcPr>
          <w:p w14:paraId="37E6E8C7" w14:textId="77777777" w:rsidR="005A1231" w:rsidRDefault="005A1231" w:rsidP="000705AE">
            <w:pPr>
              <w:jc w:val="both"/>
              <w:rPr>
                <w:rFonts w:cs="Arial"/>
              </w:rPr>
            </w:pPr>
          </w:p>
        </w:tc>
        <w:tc>
          <w:tcPr>
            <w:tcW w:w="8363" w:type="dxa"/>
            <w:gridSpan w:val="2"/>
          </w:tcPr>
          <w:p w14:paraId="307CFED9" w14:textId="77777777" w:rsidR="005A1231" w:rsidRPr="00D515E1" w:rsidRDefault="00522A7B" w:rsidP="00D515E1">
            <w:r>
              <w:rPr>
                <w:rStyle w:val="StandardnurWort"/>
              </w:rPr>
              <w:t xml:space="preserve">For printing the finished products, no mineral oil-based additives, colourants or mineral oils that contain aromatic hydrocarbons (with ≥ 10 carbon atoms) as a component may be added. In the case of aliphatic hydrocarbons, only those substances with a chain length of C10 to C20 may be used. Plant-based substitutes for mineral oil should be free of genetic engineering and sourced from sustainable cultivation. </w:t>
            </w:r>
            <w:r>
              <w:t>The following certification systems are considered suitable for renewable raw materials: RSPO (Roundtable on Sustainable Palmoil), ISCC+, ISCC EU (International Sustainable &amp; Carbon Certification) or RSB (Roundtable on Sustainable Biomaterial), Roundtable Responsible Soy (RTRS) und ProTerra (ProTerra Foundation) or a comparable certification system whose scope and requirement standards are equivalent to one of the named certification systems.</w:t>
            </w:r>
          </w:p>
        </w:tc>
      </w:tr>
      <w:tr w:rsidR="000B21C9" w14:paraId="75A99A38" w14:textId="77777777" w:rsidTr="00D515E1">
        <w:tc>
          <w:tcPr>
            <w:tcW w:w="1413" w:type="dxa"/>
            <w:shd w:val="clear" w:color="auto" w:fill="F2F2F2" w:themeFill="background1" w:themeFillShade="F2"/>
          </w:tcPr>
          <w:p w14:paraId="10E07BF0" w14:textId="77777777" w:rsidR="000B21C9" w:rsidRPr="00D515E1" w:rsidRDefault="00D515E1" w:rsidP="000705AE">
            <w:pPr>
              <w:jc w:val="both"/>
              <w:rPr>
                <w:rFonts w:cs="Arial"/>
                <w:b/>
              </w:rPr>
            </w:pPr>
            <w:r>
              <w:rPr>
                <w:b/>
              </w:rPr>
              <w:t>3.14.3</w:t>
            </w:r>
          </w:p>
        </w:tc>
        <w:tc>
          <w:tcPr>
            <w:tcW w:w="8363" w:type="dxa"/>
            <w:gridSpan w:val="2"/>
            <w:shd w:val="clear" w:color="auto" w:fill="F2F2F2" w:themeFill="background1" w:themeFillShade="F2"/>
          </w:tcPr>
          <w:p w14:paraId="0EFF5D43" w14:textId="77777777" w:rsidR="000B21C9" w:rsidRPr="00D515E1" w:rsidRDefault="00D515E1" w:rsidP="000705AE">
            <w:pPr>
              <w:jc w:val="both"/>
              <w:rPr>
                <w:rFonts w:cs="Arial"/>
                <w:b/>
              </w:rPr>
            </w:pPr>
            <w:r>
              <w:rPr>
                <w:b/>
              </w:rPr>
              <w:t>Perfluorinated or polyfluorinated substances</w:t>
            </w:r>
          </w:p>
        </w:tc>
      </w:tr>
      <w:tr w:rsidR="000B21C9" w14:paraId="6299C4C9" w14:textId="77777777" w:rsidTr="000B21C9">
        <w:tc>
          <w:tcPr>
            <w:tcW w:w="1413" w:type="dxa"/>
          </w:tcPr>
          <w:p w14:paraId="068E501B" w14:textId="77777777" w:rsidR="000B21C9" w:rsidRDefault="000B21C9" w:rsidP="000705AE">
            <w:pPr>
              <w:jc w:val="both"/>
              <w:rPr>
                <w:rFonts w:cs="Arial"/>
              </w:rPr>
            </w:pPr>
          </w:p>
        </w:tc>
        <w:tc>
          <w:tcPr>
            <w:tcW w:w="8363" w:type="dxa"/>
            <w:gridSpan w:val="2"/>
          </w:tcPr>
          <w:p w14:paraId="1CA3D5BB" w14:textId="77777777" w:rsidR="00D515E1" w:rsidRPr="008D368A" w:rsidRDefault="00D515E1" w:rsidP="00D515E1">
            <w:r>
              <w:t xml:space="preserve">To avoid the release of persistent substances into the environment, the following requirements must be fulfilled: </w:t>
            </w:r>
          </w:p>
          <w:p w14:paraId="544B2A12" w14:textId="77777777" w:rsidR="000B21C9" w:rsidRPr="00D515E1" w:rsidRDefault="00D515E1" w:rsidP="00D515E1">
            <w:r>
              <w:t>No perfluorinated and polyfluoroalkyl substances (PFAS) may be added during production.</w:t>
            </w:r>
          </w:p>
        </w:tc>
      </w:tr>
      <w:tr w:rsidR="000B21C9" w14:paraId="6C34F18A" w14:textId="77777777" w:rsidTr="00D515E1">
        <w:tc>
          <w:tcPr>
            <w:tcW w:w="1413" w:type="dxa"/>
            <w:shd w:val="clear" w:color="auto" w:fill="F2F2F2" w:themeFill="background1" w:themeFillShade="F2"/>
          </w:tcPr>
          <w:p w14:paraId="401F4177" w14:textId="77777777" w:rsidR="000B21C9" w:rsidRPr="00D515E1" w:rsidRDefault="00D515E1" w:rsidP="000705AE">
            <w:pPr>
              <w:jc w:val="both"/>
              <w:rPr>
                <w:rFonts w:cs="Arial"/>
                <w:b/>
              </w:rPr>
            </w:pPr>
            <w:r>
              <w:rPr>
                <w:b/>
              </w:rPr>
              <w:t>3.14.4</w:t>
            </w:r>
          </w:p>
        </w:tc>
        <w:tc>
          <w:tcPr>
            <w:tcW w:w="8363" w:type="dxa"/>
            <w:gridSpan w:val="2"/>
            <w:shd w:val="clear" w:color="auto" w:fill="F2F2F2" w:themeFill="background1" w:themeFillShade="F2"/>
          </w:tcPr>
          <w:p w14:paraId="0A1F4208" w14:textId="77777777" w:rsidR="000B21C9" w:rsidRPr="00D515E1" w:rsidRDefault="00D515E1" w:rsidP="000705AE">
            <w:pPr>
              <w:jc w:val="both"/>
              <w:rPr>
                <w:rFonts w:cs="Arial"/>
                <w:b/>
              </w:rPr>
            </w:pPr>
            <w:r>
              <w:rPr>
                <w:b/>
              </w:rPr>
              <w:t>Recyclability of finished products made of thermal paper</w:t>
            </w:r>
          </w:p>
        </w:tc>
      </w:tr>
      <w:tr w:rsidR="00D515E1" w14:paraId="3E8ECBD2" w14:textId="77777777" w:rsidTr="000B21C9">
        <w:tc>
          <w:tcPr>
            <w:tcW w:w="1413" w:type="dxa"/>
          </w:tcPr>
          <w:p w14:paraId="462323A8" w14:textId="77777777" w:rsidR="00D515E1" w:rsidRDefault="00D515E1" w:rsidP="000705AE">
            <w:pPr>
              <w:jc w:val="both"/>
              <w:rPr>
                <w:rFonts w:cs="Arial"/>
              </w:rPr>
            </w:pPr>
          </w:p>
        </w:tc>
        <w:tc>
          <w:tcPr>
            <w:tcW w:w="8363" w:type="dxa"/>
            <w:gridSpan w:val="2"/>
          </w:tcPr>
          <w:p w14:paraId="4D1BCCDB" w14:textId="004CA776" w:rsidR="00A81C71" w:rsidRPr="00D515E1" w:rsidRDefault="00D515E1" w:rsidP="00D515E1">
            <w:r>
              <w:t>In accordance with the requirements in Paragraph 3.13, it must be possible to largely remove the colourant from the finished products made of thermal paper in a subsequent recycling process.</w:t>
            </w:r>
          </w:p>
        </w:tc>
      </w:tr>
      <w:tr w:rsidR="00D515E1" w14:paraId="7E674C8D" w14:textId="77777777" w:rsidTr="00D515E1">
        <w:tc>
          <w:tcPr>
            <w:tcW w:w="1413" w:type="dxa"/>
            <w:shd w:val="clear" w:color="auto" w:fill="F2F2F2" w:themeFill="background1" w:themeFillShade="F2"/>
          </w:tcPr>
          <w:p w14:paraId="072DFE1A" w14:textId="77777777" w:rsidR="00D515E1" w:rsidRPr="00D515E1" w:rsidRDefault="00D515E1" w:rsidP="000705AE">
            <w:pPr>
              <w:jc w:val="both"/>
              <w:rPr>
                <w:rFonts w:cs="Arial"/>
                <w:b/>
              </w:rPr>
            </w:pPr>
            <w:r>
              <w:rPr>
                <w:b/>
              </w:rPr>
              <w:t>3.14.5</w:t>
            </w:r>
          </w:p>
        </w:tc>
        <w:tc>
          <w:tcPr>
            <w:tcW w:w="8363" w:type="dxa"/>
            <w:gridSpan w:val="2"/>
            <w:shd w:val="clear" w:color="auto" w:fill="F2F2F2" w:themeFill="background1" w:themeFillShade="F2"/>
          </w:tcPr>
          <w:p w14:paraId="0A79D183" w14:textId="77777777" w:rsidR="00D515E1" w:rsidRPr="00D515E1" w:rsidRDefault="00D515E1" w:rsidP="000705AE">
            <w:pPr>
              <w:jc w:val="both"/>
              <w:rPr>
                <w:rFonts w:cs="Arial"/>
                <w:b/>
              </w:rPr>
            </w:pPr>
            <w:r>
              <w:rPr>
                <w:b/>
              </w:rPr>
              <w:t>Fitness for use</w:t>
            </w:r>
          </w:p>
        </w:tc>
      </w:tr>
      <w:tr w:rsidR="00D515E1" w14:paraId="07936A11" w14:textId="77777777" w:rsidTr="000B21C9">
        <w:tc>
          <w:tcPr>
            <w:tcW w:w="1413" w:type="dxa"/>
          </w:tcPr>
          <w:p w14:paraId="5BF0C5BE" w14:textId="77777777" w:rsidR="00D515E1" w:rsidRDefault="00D515E1" w:rsidP="000705AE">
            <w:pPr>
              <w:jc w:val="both"/>
              <w:rPr>
                <w:rFonts w:cs="Arial"/>
              </w:rPr>
            </w:pPr>
          </w:p>
        </w:tc>
        <w:tc>
          <w:tcPr>
            <w:tcW w:w="8363" w:type="dxa"/>
            <w:gridSpan w:val="2"/>
          </w:tcPr>
          <w:p w14:paraId="3EDEE211" w14:textId="77777777" w:rsidR="00D515E1" w:rsidRPr="00D515E1" w:rsidRDefault="00D515E1" w:rsidP="00D515E1">
            <w:r>
              <w:t xml:space="preserve">The readability and </w:t>
            </w:r>
            <w:r>
              <w:rPr>
                <w:rStyle w:val="StandardnurWort"/>
              </w:rPr>
              <w:t xml:space="preserve">durability requirements must be </w:t>
            </w:r>
            <w:r>
              <w:t>guaranteed by the finished products made of thermal paper. The manufacturer must use this information to develop storage recommendations for the user, e.g. for documentation purposes.</w:t>
            </w:r>
          </w:p>
        </w:tc>
      </w:tr>
    </w:tbl>
    <w:p w14:paraId="3D58B105" w14:textId="77777777" w:rsidR="005A1231" w:rsidRPr="00F1664D" w:rsidRDefault="005A1231" w:rsidP="001E0D08">
      <w:pPr>
        <w:jc w:val="both"/>
        <w:rPr>
          <w:rFonts w:cs="Arial"/>
        </w:rPr>
      </w:pPr>
    </w:p>
    <w:sectPr w:rsidR="005A1231" w:rsidRPr="00F1664D"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E776C" w14:textId="77777777" w:rsidR="00596200" w:rsidRDefault="00596200">
      <w:r>
        <w:separator/>
      </w:r>
    </w:p>
  </w:endnote>
  <w:endnote w:type="continuationSeparator" w:id="0">
    <w:p w14:paraId="0551702B" w14:textId="77777777" w:rsidR="00596200" w:rsidRDefault="00596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28137" w14:textId="77777777" w:rsidR="006A150D" w:rsidRPr="00B010C2" w:rsidRDefault="006A150D" w:rsidP="00581C26">
    <w:pPr>
      <w:pStyle w:val="Fuzeile"/>
      <w:tabs>
        <w:tab w:val="clear" w:pos="9072"/>
        <w:tab w:val="right" w:pos="9540"/>
      </w:tabs>
      <w:rPr>
        <w:rFonts w:cs="Arial"/>
      </w:rPr>
    </w:pPr>
    <w:r>
      <w:t>Annex 1 to the contract</w:t>
    </w:r>
    <w: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Pr>
        <w:rStyle w:val="Seitenzahl"/>
        <w:rFonts w:cs="Arial"/>
      </w:rPr>
      <w:t>4</w:t>
    </w:r>
    <w:r w:rsidRPr="00B010C2">
      <w:rPr>
        <w:rStyle w:val="Seitenzahl"/>
        <w:rFonts w:cs="Arial"/>
      </w:rPr>
      <w:fldChar w:fldCharType="end"/>
    </w:r>
    <w:r>
      <w:rPr>
        <w:rStyle w:val="Seitenzah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Pr>
        <w:rStyle w:val="Seitenzahl"/>
        <w:rFonts w:cs="Arial"/>
      </w:rPr>
      <w:t>4</w:t>
    </w:r>
    <w:r w:rsidRPr="00B010C2">
      <w:rPr>
        <w:rStyle w:val="Seitenzahl"/>
        <w:rFonts w:cs="Arial"/>
      </w:rPr>
      <w:fldChar w:fldCharType="end"/>
    </w:r>
    <w:r>
      <w:rPr>
        <w:rStyle w:val="Seitenzahl"/>
      </w:rPr>
      <w:tab/>
      <w:t xml:space="preserve">     DE-UZ 223 Edition 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5835E" w14:textId="77777777" w:rsidR="006A150D" w:rsidRPr="00731E02" w:rsidRDefault="006A150D"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394E6" w14:textId="77777777" w:rsidR="00596200" w:rsidRDefault="00596200">
      <w:r>
        <w:separator/>
      </w:r>
    </w:p>
  </w:footnote>
  <w:footnote w:type="continuationSeparator" w:id="0">
    <w:p w14:paraId="301D5106" w14:textId="77777777" w:rsidR="00596200" w:rsidRDefault="00596200">
      <w:r>
        <w:continuationSeparator/>
      </w:r>
    </w:p>
  </w:footnote>
  <w:footnote w:id="1">
    <w:p w14:paraId="0E776D92" w14:textId="77777777" w:rsidR="006A150D" w:rsidRPr="00C153FB" w:rsidRDefault="006A150D" w:rsidP="00E528C1">
      <w:pPr>
        <w:pStyle w:val="Funotentext"/>
        <w:rPr>
          <w:szCs w:val="18"/>
        </w:rPr>
      </w:pPr>
      <w:r>
        <w:rPr>
          <w:rStyle w:val="Funotenzeichen"/>
          <w:szCs w:val="18"/>
        </w:rPr>
        <w:footnoteRef/>
      </w:r>
      <w:r>
        <w:t xml:space="preserve"> </w:t>
      </w:r>
      <w:r>
        <w:tab/>
        <w:t>O stands for oxygen</w:t>
      </w:r>
    </w:p>
  </w:footnote>
  <w:footnote w:id="2">
    <w:p w14:paraId="16B331F0" w14:textId="51FF5BFE" w:rsidR="006A150D" w:rsidRDefault="006A150D" w:rsidP="00E528C1">
      <w:pPr>
        <w:pStyle w:val="Funotentext"/>
      </w:pPr>
      <w:r>
        <w:rPr>
          <w:rStyle w:val="Funotenzeichen"/>
          <w:szCs w:val="18"/>
        </w:rPr>
        <w:footnoteRef/>
      </w:r>
      <w:r>
        <w:t xml:space="preserve"> </w:t>
      </w:r>
      <w:r>
        <w:tab/>
        <w:t>air dry: air dried pulp</w:t>
      </w:r>
    </w:p>
  </w:footnote>
  <w:footnote w:id="3">
    <w:p w14:paraId="738F8AFE" w14:textId="77777777" w:rsidR="006A150D" w:rsidRPr="00270635" w:rsidRDefault="006A150D" w:rsidP="00407A44">
      <w:pPr>
        <w:pStyle w:val="Funotentext"/>
      </w:pPr>
      <w:r>
        <w:rPr>
          <w:rStyle w:val="Funotenzeichen"/>
          <w:szCs w:val="18"/>
        </w:rPr>
        <w:footnoteRef/>
      </w:r>
      <w:r>
        <w:t xml:space="preserve"> </w:t>
      </w:r>
      <w:r>
        <w:tab/>
      </w:r>
      <w:hyperlink r:id="rId1" w:history="1">
        <w:r>
          <w:rPr>
            <w:rStyle w:val="Hyperlink"/>
          </w:rPr>
          <w:t>https://www.nordic-ecolabel.org/globalassets/ai001_3.0_basic_module_cd.pdf</w:t>
        </w:r>
      </w:hyperlink>
    </w:p>
  </w:footnote>
  <w:footnote w:id="4">
    <w:p w14:paraId="64D42510" w14:textId="77777777" w:rsidR="006A150D" w:rsidRPr="007438DD" w:rsidRDefault="006A150D" w:rsidP="005D7945">
      <w:pPr>
        <w:pStyle w:val="Funotentext"/>
        <w:rPr>
          <w:szCs w:val="18"/>
        </w:rPr>
      </w:pPr>
      <w:r>
        <w:rPr>
          <w:rStyle w:val="Funotenzeichen"/>
        </w:rPr>
        <w:footnoteRef/>
      </w:r>
      <w:r>
        <w:t xml:space="preserve"> </w:t>
      </w:r>
      <w:r>
        <w:tab/>
        <w:t xml:space="preserve">BREF (Best Available Techniques Reference Document) full version and BAT conclusions in German and English at  </w:t>
      </w:r>
      <w:hyperlink r:id="rId2" w:history="1">
        <w:r>
          <w:t>https://www.umweltbundesamt.de/themen/wirtschaft-konsum/beste-verfuegbare-techniken/sevilla-prozess/bvt-merkblaetter-durchfuehrungsbeschluesse</w:t>
        </w:r>
      </w:hyperlink>
      <w:r>
        <w:t xml:space="preserve"> </w:t>
      </w:r>
    </w:p>
  </w:footnote>
  <w:footnote w:id="5">
    <w:p w14:paraId="399EBB24" w14:textId="77777777" w:rsidR="006A150D" w:rsidRDefault="006A150D" w:rsidP="001F3434">
      <w:pPr>
        <w:pStyle w:val="Funotentext"/>
      </w:pPr>
      <w:r>
        <w:rPr>
          <w:rStyle w:val="Funotenzeichen"/>
        </w:rPr>
        <w:footnoteRef/>
      </w:r>
      <w:r>
        <w:t xml:space="preserve"> </w:t>
      </w:r>
      <w:r>
        <w:tab/>
        <w:t>See footnote 21</w:t>
      </w:r>
    </w:p>
  </w:footnote>
  <w:footnote w:id="6">
    <w:p w14:paraId="197E363D" w14:textId="77777777" w:rsidR="006A150D" w:rsidRPr="00270635" w:rsidRDefault="006A150D" w:rsidP="001E2D25">
      <w:pPr>
        <w:pStyle w:val="Funotentext"/>
      </w:pPr>
      <w:r>
        <w:rPr>
          <w:rStyle w:val="Funotenzeichen"/>
        </w:rPr>
        <w:footnoteRef/>
      </w:r>
      <w:r>
        <w:t xml:space="preserve"> </w:t>
      </w:r>
      <w:r>
        <w:tab/>
      </w:r>
      <w:hyperlink r:id="rId3" w:history="1">
        <w:r>
          <w:rPr>
            <w:rStyle w:val="Hyperlink"/>
          </w:rPr>
          <w:t>https://www.reach-clp-biozid-helpdesk.de/SiteGlobals/Forms/Suche/DE/Kandidatenlistesuche_Formular.html?nn=8790910</w:t>
        </w:r>
      </w:hyperlink>
      <w:r>
        <w:rPr>
          <w:rStyle w:val="Hyperlink"/>
        </w:rPr>
        <w:t xml:space="preserve"> </w:t>
      </w:r>
    </w:p>
  </w:footnote>
  <w:footnote w:id="7">
    <w:p w14:paraId="19F373B1" w14:textId="77777777" w:rsidR="006A150D" w:rsidRPr="00270635" w:rsidRDefault="006A150D" w:rsidP="001E2D25">
      <w:pPr>
        <w:pStyle w:val="Funotentext"/>
      </w:pPr>
      <w:r>
        <w:rPr>
          <w:rStyle w:val="Funotenzeichen"/>
        </w:rPr>
        <w:footnoteRef/>
      </w:r>
      <w:r>
        <w:t xml:space="preserve"> </w:t>
      </w:r>
      <w:r>
        <w:tab/>
      </w:r>
      <w:hyperlink r:id="rId4" w:history="1">
        <w:r>
          <w:rPr>
            <w:rStyle w:val="Hyperlink"/>
          </w:rPr>
          <w:t>https://www.baua.de/DE/Angebote/Rechtstexte-und-Technische-Regeln/Regelwerk/TRGS/pdf/TRGS-905.pdf</w:t>
        </w:r>
      </w:hyperlink>
      <w:r>
        <w:rPr>
          <w:rStyle w:val="Hyperlink"/>
        </w:rPr>
        <w:t xml:space="preserve"> </w:t>
      </w:r>
    </w:p>
  </w:footnote>
  <w:footnote w:id="8">
    <w:p w14:paraId="2BAA0340" w14:textId="77777777" w:rsidR="006A150D" w:rsidRPr="00270635" w:rsidRDefault="006A150D" w:rsidP="001E2D25">
      <w:pPr>
        <w:pStyle w:val="Funotentext"/>
      </w:pPr>
      <w:r>
        <w:rPr>
          <w:rStyle w:val="Funotenzeichen"/>
        </w:rPr>
        <w:footnoteRef/>
      </w:r>
      <w:r>
        <w:t xml:space="preserve"> </w:t>
      </w:r>
      <w:r>
        <w:tab/>
        <w:t>An exception is made for titanium dioxide because its classification is only based on the respirable dust.</w:t>
      </w:r>
    </w:p>
  </w:footnote>
  <w:footnote w:id="9">
    <w:p w14:paraId="344B7FB3" w14:textId="77777777" w:rsidR="006A150D" w:rsidRPr="0091609D" w:rsidRDefault="006A150D" w:rsidP="00206F07">
      <w:pPr>
        <w:pStyle w:val="Funotentext"/>
      </w:pPr>
      <w:r>
        <w:rPr>
          <w:rStyle w:val="Funotenzeichen"/>
        </w:rPr>
        <w:footnoteRef/>
      </w:r>
      <w:r>
        <w:rPr>
          <w:rStyle w:val="Funotenzeichen"/>
        </w:rPr>
        <w:t xml:space="preserve"> </w:t>
      </w:r>
      <w:r>
        <w:tab/>
        <w:t xml:space="preserve">The currently valid version of the BfR recommendation </w:t>
      </w:r>
    </w:p>
  </w:footnote>
  <w:footnote w:id="10">
    <w:p w14:paraId="4F6EBA83" w14:textId="77777777" w:rsidR="006A150D" w:rsidRPr="00266F99" w:rsidRDefault="006A150D" w:rsidP="00C32604">
      <w:pPr>
        <w:pStyle w:val="Funotentext"/>
      </w:pPr>
      <w:r>
        <w:rPr>
          <w:rStyle w:val="Funotenzeichen"/>
        </w:rPr>
        <w:footnoteRef/>
      </w:r>
      <w:r>
        <w:t xml:space="preserve"> </w:t>
      </w:r>
      <w:r>
        <w:tab/>
      </w:r>
      <w:hyperlink r:id="rId5" w:history="1">
        <w:r>
          <w:rPr>
            <w:rStyle w:val="Hyperlink"/>
          </w:rPr>
          <w:t>echa.europa.eu/de/registry-of-restriction-intentions/-/dislist/details/0b0236e1853413ea</w:t>
        </w:r>
      </w:hyperlink>
      <w:r>
        <w:t xml:space="preserve"> </w:t>
      </w:r>
    </w:p>
  </w:footnote>
  <w:footnote w:id="11">
    <w:p w14:paraId="65F60E2D" w14:textId="77777777" w:rsidR="006A150D" w:rsidRPr="00B16518" w:rsidRDefault="006A150D" w:rsidP="00C32604">
      <w:pPr>
        <w:pStyle w:val="Funotentext"/>
        <w:rPr>
          <w:lang w:val="es-ES"/>
        </w:rPr>
      </w:pPr>
      <w:r>
        <w:rPr>
          <w:rStyle w:val="Funotenzeichen"/>
        </w:rPr>
        <w:footnoteRef/>
      </w:r>
      <w:r w:rsidRPr="00B16518">
        <w:rPr>
          <w:lang w:val="es-ES"/>
        </w:rPr>
        <w:t xml:space="preserve"> </w:t>
      </w:r>
      <w:r w:rsidRPr="00B16518">
        <w:rPr>
          <w:lang w:val="es-ES"/>
        </w:rPr>
        <w:tab/>
      </w:r>
      <w:hyperlink r:id="rId6" w:history="1">
        <w:r w:rsidRPr="00B16518">
          <w:rPr>
            <w:rStyle w:val="Hyperlink"/>
            <w:lang w:val="es-ES"/>
          </w:rPr>
          <w:t>echa.europa.eu/documents/10162/a264b52b-c474-5cad-7ef1-8485245e3d39</w:t>
        </w:r>
      </w:hyperlink>
      <w:r w:rsidRPr="00B16518">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2910D" w14:textId="77777777" w:rsidR="006A150D" w:rsidRDefault="006A150D">
    <w:pPr>
      <w:pStyle w:val="Kopfzeile"/>
    </w:pPr>
    <w:r>
      <w:rPr>
        <w:noProof/>
      </w:rPr>
      <w:drawing>
        <wp:anchor distT="0" distB="0" distL="114300" distR="114300" simplePos="0" relativeHeight="251660800" behindDoc="0" locked="0" layoutInCell="1" allowOverlap="1" wp14:anchorId="5692BB2F" wp14:editId="5623D93B">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B759C" w14:textId="77777777" w:rsidR="006A150D" w:rsidRDefault="006A150D">
    <w:pPr>
      <w:pStyle w:val="Kopfzeile"/>
    </w:pPr>
    <w:r>
      <w:rPr>
        <w:noProof/>
      </w:rPr>
      <w:drawing>
        <wp:anchor distT="0" distB="0" distL="114300" distR="114300" simplePos="0" relativeHeight="251659776" behindDoc="1" locked="0" layoutInCell="1" allowOverlap="0" wp14:anchorId="3851A080" wp14:editId="2E870FD7">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5584"/>
    <w:multiLevelType w:val="hybridMultilevel"/>
    <w:tmpl w:val="9DBCB798"/>
    <w:lvl w:ilvl="0" w:tplc="B49AF5A0">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5FD6"/>
    <w:multiLevelType w:val="hybridMultilevel"/>
    <w:tmpl w:val="19123D72"/>
    <w:lvl w:ilvl="0" w:tplc="F43ADA66">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6"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7D4942"/>
    <w:multiLevelType w:val="hybridMultilevel"/>
    <w:tmpl w:val="8FEA8A94"/>
    <w:lvl w:ilvl="0" w:tplc="9E6AAF16">
      <w:start w:val="3"/>
      <w:numFmt w:val="bullet"/>
      <w:lvlText w:val="-"/>
      <w:lvlJc w:val="left"/>
      <w:pPr>
        <w:ind w:left="373" w:hanging="360"/>
      </w:pPr>
      <w:rPr>
        <w:rFonts w:ascii="Verdana" w:eastAsia="Times New Roman" w:hAnsi="Verdana" w:cs="Aria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10"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EFA0565"/>
    <w:multiLevelType w:val="hybridMultilevel"/>
    <w:tmpl w:val="F5F8C4A0"/>
    <w:lvl w:ilvl="0" w:tplc="5C9897D2">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4D0BC9"/>
    <w:multiLevelType w:val="hybridMultilevel"/>
    <w:tmpl w:val="4010F6F0"/>
    <w:lvl w:ilvl="0" w:tplc="F7CE3394">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0D3280"/>
    <w:multiLevelType w:val="hybridMultilevel"/>
    <w:tmpl w:val="2A7E9EDC"/>
    <w:lvl w:ilvl="0" w:tplc="9E6E9254">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AD0956"/>
    <w:multiLevelType w:val="hybridMultilevel"/>
    <w:tmpl w:val="AEBE5D26"/>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3" w15:restartNumberingAfterBreak="0">
    <w:nsid w:val="6826404F"/>
    <w:multiLevelType w:val="hybridMultilevel"/>
    <w:tmpl w:val="40045AC0"/>
    <w:lvl w:ilvl="0" w:tplc="277C2EAE">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B68547F"/>
    <w:multiLevelType w:val="hybridMultilevel"/>
    <w:tmpl w:val="0FC440D8"/>
    <w:lvl w:ilvl="0" w:tplc="6CFC9F92">
      <w:start w:val="3"/>
      <w:numFmt w:val="bullet"/>
      <w:lvlText w:val="-"/>
      <w:lvlJc w:val="left"/>
      <w:pPr>
        <w:ind w:left="733" w:hanging="360"/>
      </w:pPr>
      <w:rPr>
        <w:rFonts w:ascii="Verdana" w:eastAsia="Times New Roman" w:hAnsi="Verdana"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abstractNum w:abstractNumId="25"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5"/>
  </w:num>
  <w:num w:numId="2">
    <w:abstractNumId w:val="7"/>
  </w:num>
  <w:num w:numId="3">
    <w:abstractNumId w:val="28"/>
  </w:num>
  <w:num w:numId="4">
    <w:abstractNumId w:val="34"/>
  </w:num>
  <w:num w:numId="5">
    <w:abstractNumId w:val="6"/>
  </w:num>
  <w:num w:numId="6">
    <w:abstractNumId w:val="32"/>
  </w:num>
  <w:num w:numId="7">
    <w:abstractNumId w:val="33"/>
  </w:num>
  <w:num w:numId="8">
    <w:abstractNumId w:val="16"/>
  </w:num>
  <w:num w:numId="9">
    <w:abstractNumId w:val="19"/>
  </w:num>
  <w:num w:numId="10">
    <w:abstractNumId w:val="10"/>
  </w:num>
  <w:num w:numId="11">
    <w:abstractNumId w:val="30"/>
  </w:num>
  <w:num w:numId="12">
    <w:abstractNumId w:val="12"/>
  </w:num>
  <w:num w:numId="13">
    <w:abstractNumId w:val="8"/>
  </w:num>
  <w:num w:numId="14">
    <w:abstractNumId w:val="2"/>
  </w:num>
  <w:num w:numId="15">
    <w:abstractNumId w:val="14"/>
  </w:num>
  <w:num w:numId="16">
    <w:abstractNumId w:val="11"/>
  </w:num>
  <w:num w:numId="17">
    <w:abstractNumId w:val="17"/>
  </w:num>
  <w:num w:numId="18">
    <w:abstractNumId w:val="15"/>
  </w:num>
  <w:num w:numId="19">
    <w:abstractNumId w:val="3"/>
  </w:num>
  <w:num w:numId="20">
    <w:abstractNumId w:val="13"/>
  </w:num>
  <w:num w:numId="21">
    <w:abstractNumId w:val="31"/>
  </w:num>
  <w:num w:numId="22">
    <w:abstractNumId w:val="0"/>
  </w:num>
  <w:num w:numId="23">
    <w:abstractNumId w:val="20"/>
  </w:num>
  <w:num w:numId="24">
    <w:abstractNumId w:val="23"/>
  </w:num>
  <w:num w:numId="25">
    <w:abstractNumId w:val="18"/>
  </w:num>
  <w:num w:numId="26">
    <w:abstractNumId w:val="21"/>
  </w:num>
  <w:num w:numId="27">
    <w:abstractNumId w:val="4"/>
  </w:num>
  <w:num w:numId="28">
    <w:abstractNumId w:val="9"/>
  </w:num>
  <w:num w:numId="29">
    <w:abstractNumId w:val="24"/>
  </w:num>
  <w:num w:numId="30">
    <w:abstractNumId w:val="26"/>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29"/>
  </w:num>
  <w:num w:numId="35">
    <w:abstractNumId w:val="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u+uB49vo+h46WCKbQCzBdBab0UJZFtVlg50c6JcZ1QmzoB3s2kb8BbAFuBjMiMv0ptrYXyKCclnPvwZ5Gmdurg==" w:salt="3o8ZUcYoHS1vcdepojTU1g=="/>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47FD"/>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05AE"/>
    <w:rsid w:val="00071108"/>
    <w:rsid w:val="000714C3"/>
    <w:rsid w:val="00071BA7"/>
    <w:rsid w:val="00072B03"/>
    <w:rsid w:val="000738E4"/>
    <w:rsid w:val="000747DE"/>
    <w:rsid w:val="00075DAB"/>
    <w:rsid w:val="00077607"/>
    <w:rsid w:val="000777F3"/>
    <w:rsid w:val="00081D57"/>
    <w:rsid w:val="0008333B"/>
    <w:rsid w:val="00083395"/>
    <w:rsid w:val="000838DE"/>
    <w:rsid w:val="0008554C"/>
    <w:rsid w:val="00085F58"/>
    <w:rsid w:val="00086844"/>
    <w:rsid w:val="00087088"/>
    <w:rsid w:val="0008747A"/>
    <w:rsid w:val="00087954"/>
    <w:rsid w:val="00090161"/>
    <w:rsid w:val="00090D8E"/>
    <w:rsid w:val="000915D8"/>
    <w:rsid w:val="00091FF3"/>
    <w:rsid w:val="00093447"/>
    <w:rsid w:val="00094261"/>
    <w:rsid w:val="0009428D"/>
    <w:rsid w:val="00094869"/>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21C9"/>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81D"/>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5492"/>
    <w:rsid w:val="0012746C"/>
    <w:rsid w:val="0012788D"/>
    <w:rsid w:val="00127F26"/>
    <w:rsid w:val="00130229"/>
    <w:rsid w:val="00130D13"/>
    <w:rsid w:val="00131B3A"/>
    <w:rsid w:val="001355A3"/>
    <w:rsid w:val="00136F66"/>
    <w:rsid w:val="00140D4B"/>
    <w:rsid w:val="00142DF7"/>
    <w:rsid w:val="0014398E"/>
    <w:rsid w:val="00143A49"/>
    <w:rsid w:val="0014543D"/>
    <w:rsid w:val="00145FE0"/>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3E6"/>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00B0"/>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489D"/>
    <w:rsid w:val="001D52FC"/>
    <w:rsid w:val="001D568B"/>
    <w:rsid w:val="001D7BC3"/>
    <w:rsid w:val="001E0D08"/>
    <w:rsid w:val="001E1192"/>
    <w:rsid w:val="001E1D7F"/>
    <w:rsid w:val="001E2D25"/>
    <w:rsid w:val="001E4FE9"/>
    <w:rsid w:val="001E52A1"/>
    <w:rsid w:val="001E765C"/>
    <w:rsid w:val="001F3434"/>
    <w:rsid w:val="001F5171"/>
    <w:rsid w:val="001F5609"/>
    <w:rsid w:val="001F56D1"/>
    <w:rsid w:val="001F5F3F"/>
    <w:rsid w:val="001F604F"/>
    <w:rsid w:val="001F61CE"/>
    <w:rsid w:val="002028D5"/>
    <w:rsid w:val="00205A52"/>
    <w:rsid w:val="00205B91"/>
    <w:rsid w:val="00206CA7"/>
    <w:rsid w:val="00206F0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4A"/>
    <w:rsid w:val="00241E97"/>
    <w:rsid w:val="00244736"/>
    <w:rsid w:val="002457CF"/>
    <w:rsid w:val="00246A44"/>
    <w:rsid w:val="00250835"/>
    <w:rsid w:val="00250AE3"/>
    <w:rsid w:val="00252E89"/>
    <w:rsid w:val="00253741"/>
    <w:rsid w:val="00253D5D"/>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32BC"/>
    <w:rsid w:val="002A41A5"/>
    <w:rsid w:val="002A4320"/>
    <w:rsid w:val="002A4A05"/>
    <w:rsid w:val="002A5267"/>
    <w:rsid w:val="002A5585"/>
    <w:rsid w:val="002A5679"/>
    <w:rsid w:val="002A59F3"/>
    <w:rsid w:val="002A5A50"/>
    <w:rsid w:val="002A6E9C"/>
    <w:rsid w:val="002A7292"/>
    <w:rsid w:val="002B0E57"/>
    <w:rsid w:val="002B1F85"/>
    <w:rsid w:val="002B3700"/>
    <w:rsid w:val="002B5FDE"/>
    <w:rsid w:val="002B7DAF"/>
    <w:rsid w:val="002C01FE"/>
    <w:rsid w:val="002C3B52"/>
    <w:rsid w:val="002C3E40"/>
    <w:rsid w:val="002C3F22"/>
    <w:rsid w:val="002C60D1"/>
    <w:rsid w:val="002C623B"/>
    <w:rsid w:val="002C6881"/>
    <w:rsid w:val="002C7232"/>
    <w:rsid w:val="002D0053"/>
    <w:rsid w:val="002D041D"/>
    <w:rsid w:val="002D18A9"/>
    <w:rsid w:val="002D1FC8"/>
    <w:rsid w:val="002D24FC"/>
    <w:rsid w:val="002D2872"/>
    <w:rsid w:val="002D3C41"/>
    <w:rsid w:val="002D42D2"/>
    <w:rsid w:val="002D6826"/>
    <w:rsid w:val="002D7CC3"/>
    <w:rsid w:val="002D7FA7"/>
    <w:rsid w:val="002E095C"/>
    <w:rsid w:val="002E1A9B"/>
    <w:rsid w:val="002E1FB4"/>
    <w:rsid w:val="002E2EF9"/>
    <w:rsid w:val="002E3DB8"/>
    <w:rsid w:val="002E4D29"/>
    <w:rsid w:val="002E4EB5"/>
    <w:rsid w:val="002E6C6B"/>
    <w:rsid w:val="002E7AE4"/>
    <w:rsid w:val="002F058D"/>
    <w:rsid w:val="002F0AD8"/>
    <w:rsid w:val="002F25C4"/>
    <w:rsid w:val="002F275F"/>
    <w:rsid w:val="002F4186"/>
    <w:rsid w:val="002F41D8"/>
    <w:rsid w:val="002F4530"/>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27223"/>
    <w:rsid w:val="003315CB"/>
    <w:rsid w:val="00331A2B"/>
    <w:rsid w:val="0033289A"/>
    <w:rsid w:val="00334082"/>
    <w:rsid w:val="003344DA"/>
    <w:rsid w:val="0033564C"/>
    <w:rsid w:val="00340BED"/>
    <w:rsid w:val="00340E0D"/>
    <w:rsid w:val="00341753"/>
    <w:rsid w:val="0034202E"/>
    <w:rsid w:val="00342AFE"/>
    <w:rsid w:val="003441B0"/>
    <w:rsid w:val="0035039C"/>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2934"/>
    <w:rsid w:val="003B3EE0"/>
    <w:rsid w:val="003B4940"/>
    <w:rsid w:val="003B6005"/>
    <w:rsid w:val="003B7421"/>
    <w:rsid w:val="003C0507"/>
    <w:rsid w:val="003C0967"/>
    <w:rsid w:val="003C190B"/>
    <w:rsid w:val="003C42AD"/>
    <w:rsid w:val="003C4396"/>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6E99"/>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07A44"/>
    <w:rsid w:val="00410A1B"/>
    <w:rsid w:val="00413C3E"/>
    <w:rsid w:val="0041467C"/>
    <w:rsid w:val="00420594"/>
    <w:rsid w:val="00420FE8"/>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6F9"/>
    <w:rsid w:val="004679DD"/>
    <w:rsid w:val="0047039A"/>
    <w:rsid w:val="004703C2"/>
    <w:rsid w:val="0047091A"/>
    <w:rsid w:val="00471137"/>
    <w:rsid w:val="00471235"/>
    <w:rsid w:val="0047204A"/>
    <w:rsid w:val="00472A5B"/>
    <w:rsid w:val="00473BB0"/>
    <w:rsid w:val="00474775"/>
    <w:rsid w:val="004751AD"/>
    <w:rsid w:val="00475877"/>
    <w:rsid w:val="00475AC1"/>
    <w:rsid w:val="00477087"/>
    <w:rsid w:val="00477392"/>
    <w:rsid w:val="00477A63"/>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0B3"/>
    <w:rsid w:val="004C5D6D"/>
    <w:rsid w:val="004D1714"/>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2A7B"/>
    <w:rsid w:val="00525355"/>
    <w:rsid w:val="00525B8D"/>
    <w:rsid w:val="0052702A"/>
    <w:rsid w:val="00527F2D"/>
    <w:rsid w:val="00527F2F"/>
    <w:rsid w:val="00530E20"/>
    <w:rsid w:val="005324F1"/>
    <w:rsid w:val="00532AE7"/>
    <w:rsid w:val="005341F4"/>
    <w:rsid w:val="00535B1B"/>
    <w:rsid w:val="005408E9"/>
    <w:rsid w:val="00540E21"/>
    <w:rsid w:val="00541CCB"/>
    <w:rsid w:val="00543263"/>
    <w:rsid w:val="00546FB1"/>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AF4"/>
    <w:rsid w:val="00564DAE"/>
    <w:rsid w:val="00566D17"/>
    <w:rsid w:val="00570DA2"/>
    <w:rsid w:val="0057148D"/>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604B"/>
    <w:rsid w:val="00596200"/>
    <w:rsid w:val="005975BC"/>
    <w:rsid w:val="00597E16"/>
    <w:rsid w:val="005A1231"/>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945"/>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0C"/>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284"/>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E19"/>
    <w:rsid w:val="00687406"/>
    <w:rsid w:val="00687B11"/>
    <w:rsid w:val="0069097F"/>
    <w:rsid w:val="006916A3"/>
    <w:rsid w:val="0069204F"/>
    <w:rsid w:val="006926B0"/>
    <w:rsid w:val="0069286B"/>
    <w:rsid w:val="0069288E"/>
    <w:rsid w:val="00692A96"/>
    <w:rsid w:val="00692F5D"/>
    <w:rsid w:val="006937EC"/>
    <w:rsid w:val="006941B1"/>
    <w:rsid w:val="00694746"/>
    <w:rsid w:val="0069688C"/>
    <w:rsid w:val="006969A6"/>
    <w:rsid w:val="00696A92"/>
    <w:rsid w:val="0069700A"/>
    <w:rsid w:val="00697389"/>
    <w:rsid w:val="00697619"/>
    <w:rsid w:val="006A150D"/>
    <w:rsid w:val="006A22C7"/>
    <w:rsid w:val="006A29B1"/>
    <w:rsid w:val="006A321F"/>
    <w:rsid w:val="006A3607"/>
    <w:rsid w:val="006A52D9"/>
    <w:rsid w:val="006A6400"/>
    <w:rsid w:val="006A64CE"/>
    <w:rsid w:val="006A6530"/>
    <w:rsid w:val="006A721A"/>
    <w:rsid w:val="006A7562"/>
    <w:rsid w:val="006A7E5B"/>
    <w:rsid w:val="006B0229"/>
    <w:rsid w:val="006B0AAC"/>
    <w:rsid w:val="006B206F"/>
    <w:rsid w:val="006B2155"/>
    <w:rsid w:val="006B237C"/>
    <w:rsid w:val="006B2779"/>
    <w:rsid w:val="006B2B09"/>
    <w:rsid w:val="006B3823"/>
    <w:rsid w:val="006B3AE4"/>
    <w:rsid w:val="006B6306"/>
    <w:rsid w:val="006B64D9"/>
    <w:rsid w:val="006C2CF2"/>
    <w:rsid w:val="006C4432"/>
    <w:rsid w:val="006C4A03"/>
    <w:rsid w:val="006C5993"/>
    <w:rsid w:val="006C61DB"/>
    <w:rsid w:val="006C632A"/>
    <w:rsid w:val="006C694A"/>
    <w:rsid w:val="006C6ABD"/>
    <w:rsid w:val="006C6EC8"/>
    <w:rsid w:val="006C702F"/>
    <w:rsid w:val="006D0478"/>
    <w:rsid w:val="006D0FBC"/>
    <w:rsid w:val="006D11F3"/>
    <w:rsid w:val="006D41E4"/>
    <w:rsid w:val="006D4A12"/>
    <w:rsid w:val="006D56A8"/>
    <w:rsid w:val="006D598B"/>
    <w:rsid w:val="006D5B11"/>
    <w:rsid w:val="006D666F"/>
    <w:rsid w:val="006D6A9D"/>
    <w:rsid w:val="006D7CD0"/>
    <w:rsid w:val="006E00F9"/>
    <w:rsid w:val="006E02EB"/>
    <w:rsid w:val="006E052A"/>
    <w:rsid w:val="006E3730"/>
    <w:rsid w:val="006E477F"/>
    <w:rsid w:val="006E5000"/>
    <w:rsid w:val="006E56E0"/>
    <w:rsid w:val="006E6E7F"/>
    <w:rsid w:val="006E7D67"/>
    <w:rsid w:val="006F220C"/>
    <w:rsid w:val="006F60D7"/>
    <w:rsid w:val="006F7E98"/>
    <w:rsid w:val="0070034F"/>
    <w:rsid w:val="00703364"/>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4B1"/>
    <w:rsid w:val="0078587E"/>
    <w:rsid w:val="00785AAC"/>
    <w:rsid w:val="00785C17"/>
    <w:rsid w:val="00786B4E"/>
    <w:rsid w:val="00786FF1"/>
    <w:rsid w:val="0078760D"/>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200F"/>
    <w:rsid w:val="007A3E27"/>
    <w:rsid w:val="007A5460"/>
    <w:rsid w:val="007A5CC2"/>
    <w:rsid w:val="007A5DCD"/>
    <w:rsid w:val="007A77CC"/>
    <w:rsid w:val="007B0378"/>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5891"/>
    <w:rsid w:val="00856650"/>
    <w:rsid w:val="0085727D"/>
    <w:rsid w:val="00862D52"/>
    <w:rsid w:val="008630CF"/>
    <w:rsid w:val="00863553"/>
    <w:rsid w:val="00865494"/>
    <w:rsid w:val="00867B03"/>
    <w:rsid w:val="0087185A"/>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32DF"/>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448C"/>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00C1"/>
    <w:rsid w:val="00951DB7"/>
    <w:rsid w:val="009600EC"/>
    <w:rsid w:val="0096142E"/>
    <w:rsid w:val="0096192D"/>
    <w:rsid w:val="009637E7"/>
    <w:rsid w:val="00964144"/>
    <w:rsid w:val="0096448D"/>
    <w:rsid w:val="00964D76"/>
    <w:rsid w:val="00965756"/>
    <w:rsid w:val="00966606"/>
    <w:rsid w:val="00966A20"/>
    <w:rsid w:val="0097002A"/>
    <w:rsid w:val="00972861"/>
    <w:rsid w:val="0097370A"/>
    <w:rsid w:val="00973F16"/>
    <w:rsid w:val="009769EA"/>
    <w:rsid w:val="00976E16"/>
    <w:rsid w:val="0097773C"/>
    <w:rsid w:val="0098027F"/>
    <w:rsid w:val="00980466"/>
    <w:rsid w:val="00980F5B"/>
    <w:rsid w:val="00981D06"/>
    <w:rsid w:val="009821E0"/>
    <w:rsid w:val="00983166"/>
    <w:rsid w:val="009847C7"/>
    <w:rsid w:val="00986463"/>
    <w:rsid w:val="00986FA2"/>
    <w:rsid w:val="00990E0A"/>
    <w:rsid w:val="0099352E"/>
    <w:rsid w:val="00994FA7"/>
    <w:rsid w:val="0099676E"/>
    <w:rsid w:val="00996C3D"/>
    <w:rsid w:val="009973AA"/>
    <w:rsid w:val="009A2831"/>
    <w:rsid w:val="009A2CE8"/>
    <w:rsid w:val="009A2FA7"/>
    <w:rsid w:val="009A3E94"/>
    <w:rsid w:val="009A459E"/>
    <w:rsid w:val="009A5ED9"/>
    <w:rsid w:val="009A63F3"/>
    <w:rsid w:val="009A66D0"/>
    <w:rsid w:val="009A7907"/>
    <w:rsid w:val="009A7E6A"/>
    <w:rsid w:val="009B2D77"/>
    <w:rsid w:val="009B3F5E"/>
    <w:rsid w:val="009B597B"/>
    <w:rsid w:val="009B797F"/>
    <w:rsid w:val="009B7B79"/>
    <w:rsid w:val="009C0080"/>
    <w:rsid w:val="009C0383"/>
    <w:rsid w:val="009C0A32"/>
    <w:rsid w:val="009C1860"/>
    <w:rsid w:val="009C2AD5"/>
    <w:rsid w:val="009C3501"/>
    <w:rsid w:val="009C53BC"/>
    <w:rsid w:val="009C6827"/>
    <w:rsid w:val="009C70BE"/>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EC1"/>
    <w:rsid w:val="00A11F6F"/>
    <w:rsid w:val="00A137BE"/>
    <w:rsid w:val="00A1398C"/>
    <w:rsid w:val="00A17A8A"/>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478C5"/>
    <w:rsid w:val="00A50C58"/>
    <w:rsid w:val="00A51137"/>
    <w:rsid w:val="00A51878"/>
    <w:rsid w:val="00A52101"/>
    <w:rsid w:val="00A52802"/>
    <w:rsid w:val="00A53BE4"/>
    <w:rsid w:val="00A54222"/>
    <w:rsid w:val="00A54D05"/>
    <w:rsid w:val="00A55BE3"/>
    <w:rsid w:val="00A62685"/>
    <w:rsid w:val="00A62906"/>
    <w:rsid w:val="00A65734"/>
    <w:rsid w:val="00A658B3"/>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2DE"/>
    <w:rsid w:val="00A81C71"/>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B026C"/>
    <w:rsid w:val="00AB078E"/>
    <w:rsid w:val="00AB0C0D"/>
    <w:rsid w:val="00AB20D6"/>
    <w:rsid w:val="00AB25A9"/>
    <w:rsid w:val="00AB33A7"/>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11A5"/>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07A76"/>
    <w:rsid w:val="00B100A1"/>
    <w:rsid w:val="00B10C4B"/>
    <w:rsid w:val="00B115FC"/>
    <w:rsid w:val="00B135A1"/>
    <w:rsid w:val="00B13895"/>
    <w:rsid w:val="00B13E1F"/>
    <w:rsid w:val="00B14E50"/>
    <w:rsid w:val="00B1618B"/>
    <w:rsid w:val="00B162D2"/>
    <w:rsid w:val="00B16518"/>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D6C"/>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895"/>
    <w:rsid w:val="00BA5C1A"/>
    <w:rsid w:val="00BA5F08"/>
    <w:rsid w:val="00BA7486"/>
    <w:rsid w:val="00BB047B"/>
    <w:rsid w:val="00BB0BA3"/>
    <w:rsid w:val="00BB0F60"/>
    <w:rsid w:val="00BB2B7D"/>
    <w:rsid w:val="00BB3C08"/>
    <w:rsid w:val="00BB4CF4"/>
    <w:rsid w:val="00BB4D4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D6F0F"/>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08D"/>
    <w:rsid w:val="00C06222"/>
    <w:rsid w:val="00C0649A"/>
    <w:rsid w:val="00C104E0"/>
    <w:rsid w:val="00C10906"/>
    <w:rsid w:val="00C12978"/>
    <w:rsid w:val="00C12B08"/>
    <w:rsid w:val="00C135BD"/>
    <w:rsid w:val="00C15D5B"/>
    <w:rsid w:val="00C16236"/>
    <w:rsid w:val="00C16422"/>
    <w:rsid w:val="00C16C7F"/>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2604"/>
    <w:rsid w:val="00C33528"/>
    <w:rsid w:val="00C33609"/>
    <w:rsid w:val="00C33D5C"/>
    <w:rsid w:val="00C34876"/>
    <w:rsid w:val="00C35DEF"/>
    <w:rsid w:val="00C36D2C"/>
    <w:rsid w:val="00C37FC5"/>
    <w:rsid w:val="00C40A42"/>
    <w:rsid w:val="00C40DA2"/>
    <w:rsid w:val="00C43BC1"/>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48D0"/>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BF9"/>
    <w:rsid w:val="00CD5402"/>
    <w:rsid w:val="00CD55CE"/>
    <w:rsid w:val="00CD7AFD"/>
    <w:rsid w:val="00CE01CD"/>
    <w:rsid w:val="00CE0D2A"/>
    <w:rsid w:val="00CE1B20"/>
    <w:rsid w:val="00CE1E64"/>
    <w:rsid w:val="00CE3A1A"/>
    <w:rsid w:val="00CE5106"/>
    <w:rsid w:val="00CE6992"/>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3A96"/>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5E1"/>
    <w:rsid w:val="00D51933"/>
    <w:rsid w:val="00D544BF"/>
    <w:rsid w:val="00D54E67"/>
    <w:rsid w:val="00D553A3"/>
    <w:rsid w:val="00D557D3"/>
    <w:rsid w:val="00D56B31"/>
    <w:rsid w:val="00D57B2F"/>
    <w:rsid w:val="00D61553"/>
    <w:rsid w:val="00D615B7"/>
    <w:rsid w:val="00D61CC5"/>
    <w:rsid w:val="00D6248C"/>
    <w:rsid w:val="00D62F61"/>
    <w:rsid w:val="00D65F9F"/>
    <w:rsid w:val="00D70471"/>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0D8F"/>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1E20"/>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3A68"/>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52D3"/>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02C4"/>
    <w:rsid w:val="00E41777"/>
    <w:rsid w:val="00E44677"/>
    <w:rsid w:val="00E44E9A"/>
    <w:rsid w:val="00E452F2"/>
    <w:rsid w:val="00E46381"/>
    <w:rsid w:val="00E4684F"/>
    <w:rsid w:val="00E46A8E"/>
    <w:rsid w:val="00E46C4B"/>
    <w:rsid w:val="00E472A0"/>
    <w:rsid w:val="00E5198A"/>
    <w:rsid w:val="00E51C39"/>
    <w:rsid w:val="00E528C1"/>
    <w:rsid w:val="00E52E97"/>
    <w:rsid w:val="00E54B17"/>
    <w:rsid w:val="00E54D15"/>
    <w:rsid w:val="00E54F70"/>
    <w:rsid w:val="00E55F25"/>
    <w:rsid w:val="00E56B18"/>
    <w:rsid w:val="00E56EDB"/>
    <w:rsid w:val="00E56F36"/>
    <w:rsid w:val="00E604A2"/>
    <w:rsid w:val="00E60826"/>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14CE"/>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4A18"/>
    <w:rsid w:val="00EE58CF"/>
    <w:rsid w:val="00EF0A9F"/>
    <w:rsid w:val="00EF176D"/>
    <w:rsid w:val="00EF4AE4"/>
    <w:rsid w:val="00EF4FEB"/>
    <w:rsid w:val="00EF5640"/>
    <w:rsid w:val="00EF6AD3"/>
    <w:rsid w:val="00EF75DC"/>
    <w:rsid w:val="00EF7615"/>
    <w:rsid w:val="00F001C6"/>
    <w:rsid w:val="00F017BB"/>
    <w:rsid w:val="00F01C34"/>
    <w:rsid w:val="00F01D1E"/>
    <w:rsid w:val="00F026CE"/>
    <w:rsid w:val="00F03BDD"/>
    <w:rsid w:val="00F05BA8"/>
    <w:rsid w:val="00F11F6C"/>
    <w:rsid w:val="00F12083"/>
    <w:rsid w:val="00F12787"/>
    <w:rsid w:val="00F12E9A"/>
    <w:rsid w:val="00F16165"/>
    <w:rsid w:val="00F1664D"/>
    <w:rsid w:val="00F16772"/>
    <w:rsid w:val="00F20506"/>
    <w:rsid w:val="00F206D2"/>
    <w:rsid w:val="00F215D4"/>
    <w:rsid w:val="00F2161D"/>
    <w:rsid w:val="00F239F4"/>
    <w:rsid w:val="00F23F15"/>
    <w:rsid w:val="00F24371"/>
    <w:rsid w:val="00F24D41"/>
    <w:rsid w:val="00F3028C"/>
    <w:rsid w:val="00F30852"/>
    <w:rsid w:val="00F30AE6"/>
    <w:rsid w:val="00F31A26"/>
    <w:rsid w:val="00F32BF2"/>
    <w:rsid w:val="00F334B1"/>
    <w:rsid w:val="00F34064"/>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527C"/>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43BC"/>
    <w:rsid w:val="00FE51C8"/>
    <w:rsid w:val="00FE542D"/>
    <w:rsid w:val="00FE7534"/>
    <w:rsid w:val="00FE78C1"/>
    <w:rsid w:val="00FF0309"/>
    <w:rsid w:val="00FF048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1E90C6"/>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9A2FA7"/>
    <w:pPr>
      <w:keepNext/>
      <w:numPr>
        <w:ilvl w:val="1"/>
        <w:numId w:val="31"/>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9A2FA7"/>
    <w:pPr>
      <w:keepNext/>
      <w:numPr>
        <w:ilvl w:val="2"/>
        <w:numId w:val="31"/>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9A2FA7"/>
    <w:pPr>
      <w:numPr>
        <w:numId w:val="30"/>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9A2FA7"/>
    <w:rPr>
      <w:rFonts w:ascii="Verdana" w:eastAsiaTheme="minorEastAsia" w:hAnsi="Verdana" w:cstheme="minorBidi"/>
      <w:lang w:eastAsia="ja-JP"/>
    </w:rPr>
  </w:style>
  <w:style w:type="paragraph" w:customStyle="1" w:styleId="Anhangberschrift">
    <w:name w:val="Anhang Überschrift"/>
    <w:basedOn w:val="Listenabsatz"/>
    <w:next w:val="Standard"/>
    <w:qFormat/>
    <w:rsid w:val="009A2FA7"/>
    <w:pPr>
      <w:keepNext/>
      <w:numPr>
        <w:numId w:val="31"/>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9A2FA7"/>
    <w:pPr>
      <w:numPr>
        <w:ilvl w:val="4"/>
        <w:numId w:val="31"/>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9A2FA7"/>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9A2FA7"/>
    <w:pPr>
      <w:numPr>
        <w:ilvl w:val="3"/>
      </w:numPr>
    </w:pPr>
    <w:rPr>
      <w:rFonts w:eastAsia="Times New Roman" w:cs="Times New Roman"/>
      <w:bCs/>
    </w:rPr>
  </w:style>
  <w:style w:type="character" w:styleId="NichtaufgelsteErwhnung">
    <w:name w:val="Unresolved Mention"/>
    <w:basedOn w:val="Absatz-Standardschriftart"/>
    <w:uiPriority w:val="99"/>
    <w:semiHidden/>
    <w:unhideWhenUsed/>
    <w:rsid w:val="007854B1"/>
    <w:rPr>
      <w:color w:val="605E5C"/>
      <w:shd w:val="clear" w:color="auto" w:fill="E1DFDD"/>
    </w:rPr>
  </w:style>
  <w:style w:type="paragraph" w:customStyle="1" w:styleId="AufzhlungPunkt1">
    <w:name w:val="Aufzählung Punkt 1"/>
    <w:basedOn w:val="Standard"/>
    <w:link w:val="AufzhlungPunkt1Zchn"/>
    <w:qFormat/>
    <w:rsid w:val="00E528C1"/>
    <w:pPr>
      <w:numPr>
        <w:numId w:val="34"/>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E528C1"/>
    <w:rPr>
      <w:rFonts w:ascii="Verdana" w:eastAsiaTheme="minorEastAsia" w:hAnsi="Verdana" w:cstheme="minorBidi"/>
      <w:lang w:eastAsia="ja-JP"/>
    </w:rPr>
  </w:style>
  <w:style w:type="paragraph" w:customStyle="1" w:styleId="Standardeingercktum0">
    <w:name w:val="Standard eingerückt um 0"/>
    <w:aliases w:val="75"/>
    <w:basedOn w:val="Standard"/>
    <w:link w:val="Standardeingercktum0Zchn"/>
    <w:qFormat/>
    <w:rsid w:val="00E528C1"/>
    <w:pPr>
      <w:spacing w:line="288" w:lineRule="auto"/>
      <w:ind w:left="426"/>
      <w:jc w:val="both"/>
    </w:pPr>
    <w:rPr>
      <w:rFonts w:eastAsiaTheme="minorEastAsia" w:cstheme="minorBidi"/>
      <w:color w:val="auto"/>
      <w:lang w:eastAsia="ja-JP"/>
    </w:rPr>
  </w:style>
  <w:style w:type="character" w:customStyle="1" w:styleId="Standardeingercktum0Zchn">
    <w:name w:val="Standard eingerückt um 0 Zchn"/>
    <w:aliases w:val="75 Zchn"/>
    <w:basedOn w:val="Absatz-Standardschriftart"/>
    <w:link w:val="Standardeingercktum0"/>
    <w:rsid w:val="00E528C1"/>
    <w:rPr>
      <w:rFonts w:ascii="Verdana" w:eastAsiaTheme="minorEastAsia" w:hAnsi="Verdana" w:cstheme="minorBidi"/>
      <w:lang w:eastAsia="ja-JP"/>
    </w:rPr>
  </w:style>
  <w:style w:type="character" w:customStyle="1" w:styleId="Tiefgestellt">
    <w:name w:val="Tiefgestellt"/>
    <w:basedOn w:val="Absatz-Standardschriftart"/>
    <w:rsid w:val="00E528C1"/>
    <w:rPr>
      <w:vertAlign w:val="subscript"/>
    </w:rPr>
  </w:style>
  <w:style w:type="paragraph" w:customStyle="1" w:styleId="b1">
    <w:name w:val="Üb 1"/>
    <w:basedOn w:val="Listenabsatz"/>
    <w:next w:val="Standard"/>
    <w:qFormat/>
    <w:rsid w:val="00407A44"/>
    <w:pPr>
      <w:keepNext/>
      <w:numPr>
        <w:numId w:val="3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407A44"/>
    <w:pPr>
      <w:numPr>
        <w:ilvl w:val="1"/>
      </w:numPr>
      <w:spacing w:before="240"/>
      <w:ind w:left="709" w:hanging="709"/>
      <w:outlineLvl w:val="1"/>
    </w:pPr>
    <w:rPr>
      <w:sz w:val="20"/>
    </w:rPr>
  </w:style>
  <w:style w:type="paragraph" w:customStyle="1" w:styleId="b3">
    <w:name w:val="Üb 3"/>
    <w:basedOn w:val="Listenabsatz"/>
    <w:next w:val="Standard"/>
    <w:qFormat/>
    <w:rsid w:val="00407A44"/>
    <w:pPr>
      <w:keepNext/>
      <w:numPr>
        <w:ilvl w:val="2"/>
        <w:numId w:val="3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407A44"/>
    <w:pPr>
      <w:numPr>
        <w:ilvl w:val="3"/>
      </w:numPr>
      <w:ind w:left="1077" w:hanging="1077"/>
      <w:outlineLvl w:val="3"/>
    </w:pPr>
  </w:style>
  <w:style w:type="paragraph" w:customStyle="1" w:styleId="b5">
    <w:name w:val="Üb 5"/>
    <w:basedOn w:val="b4"/>
    <w:next w:val="Standard"/>
    <w:qFormat/>
    <w:rsid w:val="00407A44"/>
    <w:pPr>
      <w:numPr>
        <w:ilvl w:val="4"/>
      </w:numPr>
      <w:ind w:left="1304" w:hanging="1304"/>
      <w:outlineLvl w:val="4"/>
    </w:pPr>
  </w:style>
  <w:style w:type="paragraph" w:customStyle="1" w:styleId="b6">
    <w:name w:val="Üb 6"/>
    <w:basedOn w:val="b5"/>
    <w:next w:val="Standard"/>
    <w:qFormat/>
    <w:rsid w:val="00407A44"/>
    <w:pPr>
      <w:numPr>
        <w:ilvl w:val="5"/>
      </w:numPr>
      <w:ind w:left="1559" w:hanging="1559"/>
      <w:outlineLvl w:val="5"/>
    </w:pPr>
  </w:style>
  <w:style w:type="paragraph" w:customStyle="1" w:styleId="AufzhlungBuchstabe">
    <w:name w:val="Aufzählung Buchstabe"/>
    <w:basedOn w:val="b2"/>
    <w:link w:val="AufzhlungBuchstabeZchn"/>
    <w:qFormat/>
    <w:rsid w:val="00407A44"/>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407A44"/>
    <w:rPr>
      <w:rFonts w:ascii="Verdana" w:eastAsiaTheme="minorEastAsia" w:hAnsi="Verdana" w:cstheme="minorBidi"/>
      <w:szCs w:val="22"/>
      <w:lang w:eastAsia="ja-JP"/>
    </w:rPr>
  </w:style>
  <w:style w:type="character" w:customStyle="1" w:styleId="StandardfettnurWort">
    <w:name w:val="Standard fett nur Wort"/>
    <w:basedOn w:val="Absatz-Standardschriftart"/>
    <w:uiPriority w:val="1"/>
    <w:qFormat/>
    <w:rsid w:val="00407A44"/>
    <w:rPr>
      <w:rFonts w:ascii="Verdana" w:hAnsi="Verdana"/>
      <w:b/>
      <w:sz w:val="20"/>
    </w:rPr>
  </w:style>
  <w:style w:type="paragraph" w:customStyle="1" w:styleId="AufzhlungBuchstabeFett">
    <w:name w:val="Aufzählung Buchstabe Fett"/>
    <w:basedOn w:val="AufzhlungBuchstabe"/>
    <w:rsid w:val="00407A44"/>
    <w:pPr>
      <w:numPr>
        <w:ilvl w:val="8"/>
      </w:numPr>
      <w:tabs>
        <w:tab w:val="num" w:pos="6970"/>
      </w:tabs>
      <w:ind w:left="6970" w:hanging="180"/>
    </w:pPr>
    <w:rPr>
      <w:b/>
      <w:bCs/>
    </w:rPr>
  </w:style>
  <w:style w:type="paragraph" w:customStyle="1" w:styleId="AufzhlungBuchstabeKursiv">
    <w:name w:val="Aufzählung Buchstabe Kursiv"/>
    <w:basedOn w:val="AufzhlungBuchstabe"/>
    <w:rsid w:val="00407A44"/>
    <w:pPr>
      <w:numPr>
        <w:ilvl w:val="7"/>
      </w:numPr>
      <w:tabs>
        <w:tab w:val="num" w:pos="6250"/>
      </w:tabs>
      <w:ind w:left="6250" w:hanging="360"/>
    </w:pPr>
    <w:rPr>
      <w:i/>
      <w:iCs/>
    </w:rPr>
  </w:style>
  <w:style w:type="paragraph" w:customStyle="1" w:styleId="Standardklein">
    <w:name w:val="Standard klein"/>
    <w:basedOn w:val="Standard"/>
    <w:link w:val="StandardkleinZchn"/>
    <w:qFormat/>
    <w:rsid w:val="005D7945"/>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D7945"/>
    <w:rPr>
      <w:rFonts w:ascii="Verdana" w:eastAsiaTheme="minorEastAsia" w:hAnsi="Verdana" w:cstheme="minorBidi"/>
      <w:sz w:val="16"/>
      <w:szCs w:val="16"/>
      <w:lang w:eastAsia="ja-JP"/>
    </w:rPr>
  </w:style>
  <w:style w:type="character" w:customStyle="1" w:styleId="Hochgestellt">
    <w:name w:val="Hochgestellt"/>
    <w:basedOn w:val="Absatz-Standardschriftart"/>
    <w:rsid w:val="005D7945"/>
    <w:rPr>
      <w:vertAlign w:val="superscript"/>
    </w:rPr>
  </w:style>
  <w:style w:type="table" w:customStyle="1" w:styleId="TabellefrVergabegrundlageKopfzeilegrau">
    <w:name w:val="Tabelle für Vergabegrundlage Kopfzeile grau"/>
    <w:basedOn w:val="NormaleTabelle"/>
    <w:uiPriority w:val="99"/>
    <w:rsid w:val="005D7945"/>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D7945"/>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D7945"/>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D7945"/>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D7945"/>
    <w:rPr>
      <w:rFonts w:ascii="Verdana" w:eastAsiaTheme="minorEastAsia" w:hAnsi="Verdana" w:cstheme="minorBidi"/>
      <w:sz w:val="18"/>
      <w:szCs w:val="18"/>
      <w:lang w:eastAsia="ja-JP"/>
    </w:rPr>
  </w:style>
  <w:style w:type="character" w:customStyle="1" w:styleId="StandardnurWort">
    <w:name w:val="Standard nur Wort"/>
    <w:basedOn w:val="Absatz-Standardschriftart"/>
    <w:uiPriority w:val="1"/>
    <w:qFormat/>
    <w:rsid w:val="001F3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35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reach-clp-biozid-helpdesk.de/SiteGlobals/Forms/Suche/DE/Kandidatenlistesuche_Formular.html?nn=8790910" TargetMode="External"/><Relationship Id="rId2" Type="http://schemas.openxmlformats.org/officeDocument/2006/relationships/hyperlink" Target="https://www.umweltbundesamt.de/themen/wirtschaft-konsum/beste-verfuegbare-techniken/sevilla-prozess/bvt-merkblaetter-durchfuehrungsbeschluesse" TargetMode="External"/><Relationship Id="rId1" Type="http://schemas.openxmlformats.org/officeDocument/2006/relationships/hyperlink" Target="https://www.nordic-ecolabel.org/globalassets/ai001_3.0_basic_module_cd.pdf" TargetMode="External"/><Relationship Id="rId6" Type="http://schemas.openxmlformats.org/officeDocument/2006/relationships/hyperlink" Target="file:///\\uba\gruppen\III1.3\pub\&#220;berarbeitung%20Thermopapier\echa.europa.eu\documents\10162\a264b52b-c474-5cad-7ef1-8485245e3d39" TargetMode="External"/><Relationship Id="rId5" Type="http://schemas.openxmlformats.org/officeDocument/2006/relationships/hyperlink" Target="file:///\\uba\gruppen\III1.3\pub\&#220;berarbeitung%20Thermopapier\echa.europa.eu\de\registry-of-restriction-intentions\-\dislist\details\0b0236e1853413ea" TargetMode="External"/><Relationship Id="rId4" Type="http://schemas.openxmlformats.org/officeDocument/2006/relationships/hyperlink" Target="https://www.baua.de/DE/Angebote/Rechtstexte-und-Technische-Regeln/Regelwerk/TRGS/pdf/TRGS-90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7A903-11B6-4EF1-926F-80DBE618E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3284</Words>
  <Characters>18725</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21966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5</cp:revision>
  <cp:lastPrinted>2020-02-12T07:23:00Z</cp:lastPrinted>
  <dcterms:created xsi:type="dcterms:W3CDTF">2022-07-20T11:49:00Z</dcterms:created>
  <dcterms:modified xsi:type="dcterms:W3CDTF">2022-07-20T12:12:00Z</dcterms:modified>
</cp:coreProperties>
</file>